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福建理工大学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优秀毕业研究生评选办法</w:t>
      </w:r>
    </w:p>
    <w:bookmarkEnd w:id="0"/>
    <w:p>
      <w:pPr>
        <w:autoSpaceDE w:val="0"/>
        <w:spacing w:line="600" w:lineRule="exac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pacing w:val="6"/>
          <w:sz w:val="32"/>
          <w:szCs w:val="32"/>
        </w:rPr>
        <w:t>表彰先进，树立典型，充分发挥优秀研究生的榜样示范作</w:t>
      </w:r>
      <w:r>
        <w:rPr>
          <w:rFonts w:hint="eastAsia" w:ascii="仿宋" w:hAnsi="仿宋" w:eastAsia="仿宋"/>
          <w:sz w:val="32"/>
          <w:szCs w:val="32"/>
        </w:rPr>
        <w:t>用，鼓励研究生把自己塑造成政治觉悟高、业务素质强、实践能力强的创新型人才，结合学校实际，特制定本办法。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一、评选对象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应届毕业全日制研究生(原则上不包括延长学年的研究生)。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二、评选条件</w:t>
      </w:r>
    </w:p>
    <w:p>
      <w:pPr>
        <w:autoSpaceDE w:val="0"/>
        <w:spacing w:line="56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（一）基本条件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1.热爱祖国，坚持党的基本路线，具有坚定正确的政治方向，在政治上、思想上和行动上与党中央保持一致。 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2.遵</w:t>
      </w:r>
      <w:r>
        <w:rPr>
          <w:rFonts w:hint="eastAsia" w:ascii="仿宋" w:hAnsi="仿宋" w:eastAsia="仿宋"/>
          <w:spacing w:val="-6"/>
          <w:sz w:val="32"/>
          <w:szCs w:val="32"/>
        </w:rPr>
        <w:t>守国家法律和校规校纪，积极践行社会主义核心价值</w:t>
      </w:r>
      <w:r>
        <w:rPr>
          <w:rFonts w:hint="eastAsia" w:ascii="仿宋" w:hAnsi="仿宋" w:eastAsia="仿宋"/>
          <w:sz w:val="32"/>
          <w:szCs w:val="32"/>
        </w:rPr>
        <w:t>观，尊</w:t>
      </w:r>
      <w:r>
        <w:rPr>
          <w:rFonts w:hint="eastAsia" w:ascii="仿宋" w:hAnsi="仿宋" w:eastAsia="仿宋"/>
          <w:spacing w:val="-6"/>
          <w:sz w:val="32"/>
          <w:szCs w:val="32"/>
        </w:rPr>
        <w:t>敬师长，团结同学，诚实守信，道德品质优良，在校期间未受</w:t>
      </w:r>
      <w:r>
        <w:rPr>
          <w:rFonts w:hint="eastAsia" w:ascii="仿宋" w:hAnsi="仿宋" w:eastAsia="仿宋"/>
          <w:sz w:val="32"/>
          <w:szCs w:val="32"/>
        </w:rPr>
        <w:t xml:space="preserve">过任何违纪处分；未无故欠缴学费、住宿费。 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3.勤</w:t>
      </w:r>
      <w:r>
        <w:rPr>
          <w:rFonts w:hint="eastAsia" w:ascii="仿宋" w:hAnsi="仿宋" w:eastAsia="仿宋"/>
          <w:spacing w:val="-6"/>
          <w:sz w:val="32"/>
          <w:szCs w:val="32"/>
        </w:rPr>
        <w:t>奋学习、成绩优良，在校期间无重修课程，修满规定学</w:t>
      </w:r>
      <w:r>
        <w:rPr>
          <w:rFonts w:hint="eastAsia" w:ascii="仿宋" w:hAnsi="仿宋" w:eastAsia="仿宋"/>
          <w:sz w:val="32"/>
          <w:szCs w:val="32"/>
        </w:rPr>
        <w:t>分，各</w:t>
      </w:r>
      <w:r>
        <w:rPr>
          <w:rFonts w:hint="eastAsia" w:ascii="仿宋" w:hAnsi="仿宋" w:eastAsia="仿宋"/>
          <w:spacing w:val="6"/>
          <w:sz w:val="32"/>
          <w:szCs w:val="32"/>
        </w:rPr>
        <w:t>门课程和实践环节的综合成绩在同专业年级研究生中排名前</w:t>
      </w:r>
      <w:r>
        <w:rPr>
          <w:rFonts w:hint="eastAsia" w:ascii="仿宋" w:hAnsi="仿宋" w:eastAsia="仿宋"/>
          <w:sz w:val="32"/>
          <w:szCs w:val="32"/>
        </w:rPr>
        <w:t>40%。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4.有</w:t>
      </w:r>
      <w:r>
        <w:rPr>
          <w:rFonts w:hint="eastAsia" w:ascii="仿宋" w:hAnsi="仿宋" w:eastAsia="仿宋"/>
          <w:spacing w:val="6"/>
          <w:sz w:val="32"/>
          <w:szCs w:val="32"/>
        </w:rPr>
        <w:t>较强的学术科研能力，在“三高论文”A、B类期刊、CSSCI（中文社会科学引文索引）来源期刊、《北大核心期刊要目总览》期刊、教育部“一流学科建设高校”的高校学报或</w:t>
      </w:r>
      <w:r>
        <w:rPr>
          <w:rFonts w:hint="eastAsia" w:ascii="仿宋" w:hAnsi="仿宋" w:eastAsia="仿宋"/>
          <w:spacing w:val="6"/>
          <w:sz w:val="32"/>
          <w:szCs w:val="32"/>
          <w:lang w:eastAsia="zh-CN"/>
        </w:rPr>
        <w:t>福建理工大学</w:t>
      </w:r>
      <w:r>
        <w:rPr>
          <w:rFonts w:hint="eastAsia" w:ascii="仿宋" w:hAnsi="仿宋" w:eastAsia="仿宋"/>
          <w:spacing w:val="6"/>
          <w:sz w:val="32"/>
          <w:szCs w:val="32"/>
        </w:rPr>
        <w:t>学报发表（或已录用）1篇学术论文</w:t>
      </w:r>
      <w:r>
        <w:rPr>
          <w:rFonts w:hint="eastAsia" w:ascii="仿宋" w:hAnsi="仿宋" w:eastAsia="仿宋"/>
          <w:sz w:val="32"/>
          <w:szCs w:val="32"/>
        </w:rPr>
        <w:t>（期刊认定标准以科研处当年适应文件为准，不含会议论文；应为独立作者，或第一作者，或通讯作者，或导师为第一作者，申</w:t>
      </w:r>
      <w:r>
        <w:rPr>
          <w:rFonts w:hint="eastAsia" w:ascii="仿宋" w:hAnsi="仿宋" w:eastAsia="仿宋"/>
          <w:spacing w:val="6"/>
          <w:sz w:val="32"/>
          <w:szCs w:val="32"/>
        </w:rPr>
        <w:t>请者为第二作者。)；或获得发明专利至少1件（应为第一发</w:t>
      </w:r>
      <w:r>
        <w:rPr>
          <w:rFonts w:hint="eastAsia" w:ascii="仿宋" w:hAnsi="仿宋" w:eastAsia="仿宋"/>
          <w:sz w:val="32"/>
          <w:szCs w:val="32"/>
        </w:rPr>
        <w:t>明人，或排名在前三名)。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5.学</w:t>
      </w:r>
      <w:r>
        <w:rPr>
          <w:rFonts w:hint="eastAsia" w:ascii="仿宋" w:hAnsi="仿宋" w:eastAsia="仿宋"/>
          <w:spacing w:val="-6"/>
          <w:sz w:val="32"/>
          <w:szCs w:val="32"/>
        </w:rPr>
        <w:t>位论文评阅成绩及学位论文答辩评定结果为“良”及以</w:t>
      </w:r>
      <w:r>
        <w:rPr>
          <w:rFonts w:hint="eastAsia" w:ascii="仿宋" w:hAnsi="仿宋" w:eastAsia="仿宋"/>
          <w:sz w:val="32"/>
          <w:szCs w:val="32"/>
        </w:rPr>
        <w:t>上。</w:t>
      </w:r>
    </w:p>
    <w:p>
      <w:pPr>
        <w:autoSpaceDE w:val="0"/>
        <w:spacing w:line="56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（二）优先条件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</w:t>
      </w:r>
      <w:r>
        <w:rPr>
          <w:rFonts w:hint="eastAsia" w:ascii="仿宋" w:hAnsi="仿宋" w:eastAsia="仿宋"/>
          <w:spacing w:val="-6"/>
          <w:sz w:val="32"/>
          <w:szCs w:val="32"/>
        </w:rPr>
        <w:t>备上述条件的情况下，读研期间有下列情况之一者，可优</w:t>
      </w:r>
      <w:r>
        <w:rPr>
          <w:rFonts w:hint="eastAsia" w:ascii="仿宋" w:hAnsi="仿宋" w:eastAsia="仿宋"/>
          <w:sz w:val="32"/>
          <w:szCs w:val="32"/>
        </w:rPr>
        <w:t>先评为优秀研究生毕业生：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1.获</w:t>
      </w:r>
      <w:r>
        <w:rPr>
          <w:rFonts w:hint="eastAsia" w:ascii="仿宋" w:hAnsi="仿宋" w:eastAsia="仿宋"/>
          <w:spacing w:val="6"/>
          <w:sz w:val="32"/>
          <w:szCs w:val="32"/>
        </w:rPr>
        <w:t>得过一次以上（含一次）校级或更高级别的先进个人称</w:t>
      </w:r>
      <w:r>
        <w:rPr>
          <w:rFonts w:hint="eastAsia" w:ascii="仿宋" w:hAnsi="仿宋" w:eastAsia="仿宋"/>
          <w:sz w:val="32"/>
          <w:szCs w:val="32"/>
        </w:rPr>
        <w:t>号（指“三好学生”、“优秀学生干部”、“优秀共青团干部”、“优秀共青团员”）。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在省、部级及以上与专业相关的重要比赛或竞赛中获得一、二等奖或一、二、三名，集体项目有排名的国家级取前五名、省部级取前三名；或在社会活动中，有突出的先进事迹，受到过国家或地方政府的表彰或其他奖励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3.经</w:t>
      </w:r>
      <w:r>
        <w:rPr>
          <w:rFonts w:hint="eastAsia" w:ascii="仿宋" w:hAnsi="仿宋" w:eastAsia="仿宋"/>
          <w:spacing w:val="6"/>
          <w:sz w:val="32"/>
          <w:szCs w:val="32"/>
        </w:rPr>
        <w:t>学校组织专家认定，有其他突出表现或突出贡献者。如</w:t>
      </w:r>
      <w:r>
        <w:rPr>
          <w:rFonts w:hint="eastAsia" w:ascii="仿宋" w:hAnsi="仿宋" w:eastAsia="仿宋"/>
          <w:sz w:val="32"/>
          <w:szCs w:val="32"/>
        </w:rPr>
        <w:t>取得重要科技发明成果并经有关机构鉴定；参与导师的产学研重大科研专项课题中发挥重要作用，或服务企业的技术进步做</w:t>
      </w:r>
      <w:r>
        <w:rPr>
          <w:rFonts w:hint="eastAsia" w:ascii="仿宋" w:hAnsi="仿宋" w:eastAsia="仿宋"/>
          <w:spacing w:val="6"/>
          <w:sz w:val="32"/>
          <w:szCs w:val="32"/>
        </w:rPr>
        <w:t>出重要贡</w:t>
      </w:r>
      <w:r>
        <w:rPr>
          <w:rFonts w:hint="eastAsia" w:ascii="仿宋" w:hAnsi="仿宋" w:eastAsia="仿宋"/>
          <w:sz w:val="32"/>
          <w:szCs w:val="32"/>
        </w:rPr>
        <w:t>献，或在工程项目中取得重大社会和经济效益。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4.在科研处规定的“三高论文”A、B类期刊发表（或已录用）学术论文</w:t>
      </w:r>
      <w:r>
        <w:rPr>
          <w:rFonts w:hint="eastAsia" w:ascii="仿宋" w:hAnsi="仿宋" w:eastAsia="仿宋"/>
          <w:spacing w:val="6"/>
          <w:sz w:val="32"/>
          <w:szCs w:val="32"/>
        </w:rPr>
        <w:t>（期刊认定标准以科研处当年适应文件为准，不含会议论文；应为独</w:t>
      </w:r>
      <w:r>
        <w:rPr>
          <w:rFonts w:hint="eastAsia" w:ascii="仿宋" w:hAnsi="仿宋" w:eastAsia="仿宋"/>
          <w:spacing w:val="-6"/>
          <w:sz w:val="32"/>
          <w:szCs w:val="32"/>
        </w:rPr>
        <w:t>立作者，或第一作者，或通讯作者，或导师为第一作者，申请</w:t>
      </w:r>
      <w:r>
        <w:rPr>
          <w:rFonts w:hint="eastAsia" w:ascii="仿宋" w:hAnsi="仿宋" w:eastAsia="仿宋"/>
          <w:sz w:val="32"/>
          <w:szCs w:val="32"/>
        </w:rPr>
        <w:t>者为第二作者)。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三、评选办法及程序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1.每</w:t>
      </w:r>
      <w:r>
        <w:rPr>
          <w:rFonts w:hint="eastAsia" w:ascii="仿宋" w:hAnsi="仿宋" w:eastAsia="仿宋"/>
          <w:spacing w:val="-6"/>
          <w:sz w:val="32"/>
          <w:szCs w:val="32"/>
        </w:rPr>
        <w:t>年5月底，应届毕业研究生根据评选条件提出申请，填</w:t>
      </w:r>
      <w:r>
        <w:rPr>
          <w:rFonts w:hint="eastAsia" w:ascii="仿宋" w:hAnsi="仿宋" w:eastAsia="仿宋"/>
          <w:sz w:val="32"/>
          <w:szCs w:val="32"/>
        </w:rPr>
        <w:t>写《优</w:t>
      </w:r>
      <w:r>
        <w:rPr>
          <w:rFonts w:hint="eastAsia" w:ascii="仿宋" w:hAnsi="仿宋" w:eastAsia="仿宋"/>
          <w:spacing w:val="6"/>
          <w:sz w:val="32"/>
          <w:szCs w:val="32"/>
        </w:rPr>
        <w:t>秀毕业研究生评选申请表》，并由导师签署意见；向所在学院提交申请表和支撑材料(课程学习成绩、学术论文、获奖证</w:t>
      </w:r>
      <w:r>
        <w:rPr>
          <w:rFonts w:hint="eastAsia" w:ascii="仿宋" w:hAnsi="仿宋" w:eastAsia="仿宋"/>
          <w:sz w:val="32"/>
          <w:szCs w:val="32"/>
        </w:rPr>
        <w:t xml:space="preserve">书等相关复印件，原件备查)。 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2.各学位点研究生培养指导委员会进行评审，评审合格的名单在相关学院公示3个工作日，公示无异议后将相关材料报研究生处。 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3.研究生处对各学位点提交的名单进行审核，审核结果在全校范围内公示3个工作日。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4.研究生处将公示无异议的名单提交学校审定。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5.学</w:t>
      </w:r>
      <w:r>
        <w:rPr>
          <w:rFonts w:hint="eastAsia" w:ascii="仿宋" w:hAnsi="仿宋" w:eastAsia="仿宋"/>
          <w:spacing w:val="6"/>
          <w:sz w:val="32"/>
          <w:szCs w:val="32"/>
        </w:rPr>
        <w:t>校对荣获“优秀毕业研究生”称号的同学进行表彰，颁</w:t>
      </w:r>
      <w:r>
        <w:rPr>
          <w:rFonts w:hint="eastAsia" w:ascii="仿宋" w:hAnsi="仿宋" w:eastAsia="仿宋"/>
          <w:sz w:val="32"/>
          <w:szCs w:val="32"/>
        </w:rPr>
        <w:t xml:space="preserve">发荣誉证书。 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四、评选时间和比例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1.评选工作一般安排在每年6月份进行。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2.评定比例一般不超过当年毕业研究生总数的10%。 </w:t>
      </w:r>
    </w:p>
    <w:p>
      <w:pPr>
        <w:autoSpaceDE w:val="0"/>
        <w:spacing w:line="560" w:lineRule="exact"/>
        <w:ind w:firstLine="627" w:firstLineChars="196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Cs/>
          <w:sz w:val="32"/>
          <w:szCs w:val="32"/>
        </w:rPr>
        <w:t>五、本办法自公布之日起执行，由研究生处负责解释。原颁布的文件（闽工院研工〔2022〕25号）同时废止。</w:t>
      </w:r>
    </w:p>
    <w:p>
      <w:r>
        <w:t xml:space="preserve"> </w:t>
      </w:r>
    </w:p>
    <w:p>
      <w:pPr>
        <w:ind w:left="441" w:firstLine="420" w:firstLineChars="200"/>
      </w:pPr>
      <w:r>
        <w:t xml:space="preserve"> </w:t>
      </w:r>
    </w:p>
    <w:p>
      <w:pPr>
        <w:ind w:left="1281" w:hanging="840"/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DFkYjVjNjc0MzlkZmQ3NzgyMmMyNjZjMDJhNzAifQ=="/>
  </w:docVars>
  <w:rsids>
    <w:rsidRoot w:val="005707DF"/>
    <w:rsid w:val="00013809"/>
    <w:rsid w:val="00027B68"/>
    <w:rsid w:val="000468C2"/>
    <w:rsid w:val="000C54E2"/>
    <w:rsid w:val="0021344D"/>
    <w:rsid w:val="002B7D9A"/>
    <w:rsid w:val="003A610A"/>
    <w:rsid w:val="003C02D3"/>
    <w:rsid w:val="00446191"/>
    <w:rsid w:val="00454018"/>
    <w:rsid w:val="00527078"/>
    <w:rsid w:val="005707DF"/>
    <w:rsid w:val="00576288"/>
    <w:rsid w:val="00670BE7"/>
    <w:rsid w:val="00674512"/>
    <w:rsid w:val="006832ED"/>
    <w:rsid w:val="00722ABC"/>
    <w:rsid w:val="007D1889"/>
    <w:rsid w:val="0082246C"/>
    <w:rsid w:val="008C56C1"/>
    <w:rsid w:val="008C7DDA"/>
    <w:rsid w:val="008E3ECF"/>
    <w:rsid w:val="00922CEF"/>
    <w:rsid w:val="0092338F"/>
    <w:rsid w:val="009567BB"/>
    <w:rsid w:val="00981FD7"/>
    <w:rsid w:val="009A2DDF"/>
    <w:rsid w:val="009C654F"/>
    <w:rsid w:val="009C73EF"/>
    <w:rsid w:val="009D66E8"/>
    <w:rsid w:val="009D6D1D"/>
    <w:rsid w:val="009F3C15"/>
    <w:rsid w:val="00A21989"/>
    <w:rsid w:val="00A52975"/>
    <w:rsid w:val="00AE4797"/>
    <w:rsid w:val="00B41FFE"/>
    <w:rsid w:val="00B80496"/>
    <w:rsid w:val="00B97C30"/>
    <w:rsid w:val="00BA66B9"/>
    <w:rsid w:val="00BF6202"/>
    <w:rsid w:val="00C54EBD"/>
    <w:rsid w:val="00C62444"/>
    <w:rsid w:val="00C63294"/>
    <w:rsid w:val="00CF1B73"/>
    <w:rsid w:val="00CF322C"/>
    <w:rsid w:val="00D32E31"/>
    <w:rsid w:val="00D42F80"/>
    <w:rsid w:val="00D615A2"/>
    <w:rsid w:val="00DA0F1A"/>
    <w:rsid w:val="00DC3BD5"/>
    <w:rsid w:val="00DE1BB4"/>
    <w:rsid w:val="00DF3499"/>
    <w:rsid w:val="00E2152F"/>
    <w:rsid w:val="00E24D55"/>
    <w:rsid w:val="00ED05DC"/>
    <w:rsid w:val="00EE672D"/>
    <w:rsid w:val="00EF5680"/>
    <w:rsid w:val="00F237F7"/>
    <w:rsid w:val="00F67E6B"/>
    <w:rsid w:val="00F965B7"/>
    <w:rsid w:val="00FA7654"/>
    <w:rsid w:val="00FB194C"/>
    <w:rsid w:val="00FB195C"/>
    <w:rsid w:val="00FE24AF"/>
    <w:rsid w:val="475D3C0C"/>
    <w:rsid w:val="7E2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  <w:rPr>
      <w:rFonts w:ascii="Calibri" w:hAnsi="Calibri" w:eastAsia="宋体" w:cs="Times New Roman"/>
    </w:rPr>
  </w:style>
  <w:style w:type="character" w:customStyle="1" w:styleId="7">
    <w:name w:val="页眉 Char"/>
    <w:link w:val="3"/>
    <w:uiPriority w:val="0"/>
    <w:rPr>
      <w:rFonts w:ascii="Calibri" w:hAnsi="Calibri" w:eastAsia="宋体" w:cs="Times New Roman"/>
      <w:sz w:val="18"/>
    </w:rPr>
  </w:style>
  <w:style w:type="character" w:customStyle="1" w:styleId="8">
    <w:name w:val="页脚 Char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2023-07-20T15:47:00Z</dcterms:created>
  <dc:creator>fjuty</dc:creator>
  <cp:lastModifiedBy>yjscc</cp:lastModifiedBy>
  <dcterms:modified xsi:type="dcterms:W3CDTF">2023-08-17T05:43:10Z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660624FA8EF049FFA22E82EE6771F02C_11</vt:lpwstr>
  </property>
</Properties>
</file>