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FF64">
      <w:pPr>
        <w:spacing w:line="7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福建理工大学硕士研究生优秀学位论文评选办法</w:t>
      </w:r>
    </w:p>
    <w:p w14:paraId="03162759">
      <w:pPr>
        <w:widowControl/>
        <w:autoSpaceDE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 w14:paraId="6D5454D2">
      <w:pPr>
        <w:pStyle w:val="10"/>
        <w:widowControl/>
        <w:numPr>
          <w:ilvl w:val="0"/>
          <w:numId w:val="1"/>
        </w:numPr>
        <w:autoSpaceDE w:val="0"/>
        <w:spacing w:line="600" w:lineRule="exact"/>
        <w:ind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总  则</w:t>
      </w:r>
    </w:p>
    <w:p w14:paraId="4E9B5DAB">
      <w:pPr>
        <w:widowControl/>
        <w:autoSpaceDE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第一条 </w:t>
      </w:r>
      <w:r>
        <w:rPr>
          <w:rFonts w:hint="eastAsia" w:ascii="仿宋" w:hAnsi="仿宋" w:eastAsia="仿宋"/>
          <w:sz w:val="32"/>
          <w:szCs w:val="32"/>
        </w:rPr>
        <w:t>为促进我校硕士研究生培养质量和学位论文质量的提</w:t>
      </w:r>
      <w:r>
        <w:rPr>
          <w:rFonts w:hint="eastAsia" w:ascii="仿宋" w:hAnsi="仿宋" w:eastAsia="仿宋"/>
          <w:spacing w:val="-6"/>
          <w:sz w:val="32"/>
          <w:szCs w:val="32"/>
        </w:rPr>
        <w:t>高，鼓励创新精神，提高我校研究生学位论文的总体水平，鼓</w:t>
      </w:r>
      <w:r>
        <w:rPr>
          <w:rFonts w:hint="eastAsia" w:ascii="仿宋" w:hAnsi="仿宋" w:eastAsia="仿宋"/>
          <w:sz w:val="32"/>
          <w:szCs w:val="32"/>
        </w:rPr>
        <w:t>励硕士研究生撰写高质量的学位论文，学校决定开展校优秀研究生学</w:t>
      </w:r>
      <w:r>
        <w:rPr>
          <w:rFonts w:hint="eastAsia" w:ascii="仿宋" w:hAnsi="仿宋" w:eastAsia="仿宋"/>
          <w:spacing w:val="-6"/>
          <w:sz w:val="32"/>
          <w:szCs w:val="32"/>
        </w:rPr>
        <w:t>位论文评选工作，对获奖的学位论文作者及指导教师给予奖励。</w:t>
      </w:r>
    </w:p>
    <w:p w14:paraId="260E0B2A">
      <w:pPr>
        <w:widowControl/>
        <w:autoSpaceDE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参评对象及比例</w:t>
      </w:r>
    </w:p>
    <w:p w14:paraId="38940FCB">
      <w:pPr>
        <w:autoSpaceDE w:val="0"/>
        <w:spacing w:line="600" w:lineRule="exact"/>
        <w:ind w:right="26"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第二条 </w:t>
      </w:r>
      <w:r>
        <w:rPr>
          <w:rFonts w:hint="eastAsia" w:ascii="仿宋" w:hAnsi="仿宋" w:eastAsia="仿宋"/>
          <w:sz w:val="32"/>
          <w:szCs w:val="32"/>
        </w:rPr>
        <w:t>参评对象为当学年通过论文答辩并获得福建理工大学硕士学位者。</w:t>
      </w:r>
    </w:p>
    <w:p w14:paraId="130A7436">
      <w:pPr>
        <w:autoSpaceDE w:val="0"/>
        <w:spacing w:line="600" w:lineRule="exact"/>
        <w:ind w:right="26"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优</w:t>
      </w:r>
      <w:r>
        <w:rPr>
          <w:rFonts w:hint="eastAsia" w:ascii="仿宋" w:hAnsi="仿宋" w:eastAsia="仿宋"/>
          <w:spacing w:val="-6"/>
          <w:sz w:val="32"/>
          <w:szCs w:val="32"/>
        </w:rPr>
        <w:t>秀学位论文的评选应遵循宁缺勿滥的原则，不符</w:t>
      </w:r>
      <w:r>
        <w:rPr>
          <w:rFonts w:hint="eastAsia" w:ascii="仿宋" w:hAnsi="仿宋" w:eastAsia="仿宋"/>
          <w:sz w:val="32"/>
          <w:szCs w:val="32"/>
        </w:rPr>
        <w:t>合参</w:t>
      </w:r>
      <w:r>
        <w:rPr>
          <w:rFonts w:hint="eastAsia" w:ascii="仿宋" w:hAnsi="仿宋" w:eastAsia="仿宋"/>
          <w:spacing w:val="6"/>
          <w:sz w:val="32"/>
          <w:szCs w:val="32"/>
        </w:rPr>
        <w:t>评标准的论文，一律不参加优秀论文的评选。评选每年举行一</w:t>
      </w:r>
      <w:r>
        <w:rPr>
          <w:rFonts w:hint="eastAsia" w:ascii="仿宋" w:hAnsi="仿宋" w:eastAsia="仿宋"/>
          <w:sz w:val="32"/>
          <w:szCs w:val="32"/>
        </w:rPr>
        <w:t>次，每次评选名额不超过当学年毕业研究生总人数的10%。</w:t>
      </w:r>
    </w:p>
    <w:p w14:paraId="4627F83E">
      <w:pPr>
        <w:widowControl/>
        <w:autoSpaceDE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参评标准及要求</w:t>
      </w:r>
    </w:p>
    <w:p w14:paraId="20B202E4">
      <w:pPr>
        <w:autoSpaceDE w:val="0"/>
        <w:spacing w:line="600" w:lineRule="exact"/>
        <w:ind w:right="26"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第四条 </w:t>
      </w:r>
      <w:r>
        <w:rPr>
          <w:rFonts w:hint="eastAsia" w:ascii="仿宋" w:hAnsi="仿宋" w:eastAsia="仿宋"/>
          <w:sz w:val="32"/>
          <w:szCs w:val="32"/>
        </w:rPr>
        <w:t>参</w:t>
      </w:r>
      <w:r>
        <w:rPr>
          <w:rFonts w:hint="eastAsia" w:ascii="仿宋" w:hAnsi="仿宋" w:eastAsia="仿宋"/>
          <w:spacing w:val="6"/>
          <w:sz w:val="32"/>
          <w:szCs w:val="32"/>
        </w:rPr>
        <w:t>评的硕士学位论文一般用中文撰写，论文送审（2</w:t>
      </w:r>
      <w:r>
        <w:rPr>
          <w:rFonts w:hint="eastAsia" w:ascii="仿宋" w:hAnsi="仿宋" w:eastAsia="仿宋"/>
          <w:sz w:val="32"/>
          <w:szCs w:val="32"/>
        </w:rPr>
        <w:t>份）及论文答辩成绩均不低于80分。</w:t>
      </w:r>
    </w:p>
    <w:p w14:paraId="1E1D0C43">
      <w:pPr>
        <w:autoSpaceDE w:val="0"/>
        <w:spacing w:line="600" w:lineRule="exact"/>
        <w:ind w:right="26"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参评基本要求</w:t>
      </w:r>
    </w:p>
    <w:p w14:paraId="2DB566F9">
      <w:pPr>
        <w:autoSpaceDE w:val="0"/>
        <w:spacing w:line="600" w:lineRule="exact"/>
        <w:ind w:right="26" w:firstLine="640" w:firstLineChars="20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pacing w:val="-6"/>
          <w:sz w:val="32"/>
          <w:szCs w:val="32"/>
        </w:rPr>
        <w:t>论</w:t>
      </w:r>
      <w:r>
        <w:rPr>
          <w:rFonts w:hint="eastAsia" w:ascii="仿宋" w:hAnsi="仿宋" w:eastAsia="仿宋"/>
          <w:sz w:val="32"/>
          <w:szCs w:val="32"/>
        </w:rPr>
        <w:t>文选题具有本学科的前沿性，有一定的理论意义或现实意</w:t>
      </w:r>
      <w:r>
        <w:rPr>
          <w:rFonts w:hint="eastAsia" w:ascii="仿宋" w:hAnsi="仿宋" w:eastAsia="仿宋"/>
          <w:spacing w:val="-6"/>
          <w:sz w:val="32"/>
          <w:szCs w:val="32"/>
        </w:rPr>
        <w:t>义。</w:t>
      </w:r>
    </w:p>
    <w:p w14:paraId="739C9FDB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pacing w:val="-6"/>
          <w:sz w:val="32"/>
          <w:szCs w:val="32"/>
        </w:rPr>
        <w:t>在理论和方法上有创新，具有较好的社会效益或应用前景。</w:t>
      </w:r>
    </w:p>
    <w:p w14:paraId="7B999608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3.材料详实，推理严密，文字表达准确。</w:t>
      </w:r>
    </w:p>
    <w:p w14:paraId="6BC6A864">
      <w:pPr>
        <w:autoSpaceDE w:val="0"/>
        <w:spacing w:line="600" w:lineRule="exact"/>
        <w:ind w:right="26" w:firstLine="600" w:firstLineChars="195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至少以第一作者（或导师第一作者，参评人第二作者）在“三高论文”A、B类期刊发表（或已录用）一篇与学位论文直接相关的论文；或授权发明专利1项（参评人为第一发明人且导师为发明人之一，或导师为第一发明人且参评人为第二发明人）。</w:t>
      </w:r>
    </w:p>
    <w:p w14:paraId="1627180B">
      <w:pPr>
        <w:autoSpaceDE w:val="0"/>
        <w:spacing w:line="600" w:lineRule="exact"/>
        <w:ind w:right="26"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/>
          <w:sz w:val="32"/>
          <w:szCs w:val="32"/>
        </w:rPr>
        <w:t>作为参评科研成果的论文均应以参评人为第一作者，或导师为第一作者且参评人为第二作者；专利均应以参评人为第一发明人且导师为发明人之一，或导师为第一发明人且参评人为第二发明人。科研成果均应与学位论文有关，且单位署名为福建理工大学，有多个署名单位的，第一署名单位应为福建理工大学。</w:t>
      </w:r>
      <w:r>
        <w:rPr>
          <w:rFonts w:hint="eastAsia" w:ascii="仿宋" w:hAnsi="仿宋" w:eastAsia="仿宋"/>
          <w:spacing w:val="6"/>
          <w:sz w:val="32"/>
          <w:szCs w:val="32"/>
        </w:rPr>
        <w:t>期刊认定标准以科研处当年适应文件为准</w:t>
      </w:r>
      <w:r>
        <w:rPr>
          <w:rFonts w:hint="eastAsia" w:ascii="仿宋" w:hAnsi="仿宋" w:eastAsia="仿宋"/>
          <w:sz w:val="32"/>
          <w:szCs w:val="32"/>
        </w:rPr>
        <w:t>，专利应获正式授权。</w:t>
      </w:r>
    </w:p>
    <w:p w14:paraId="1A60A87C">
      <w:pPr>
        <w:widowControl/>
        <w:autoSpaceDE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评选时间及程序</w:t>
      </w:r>
    </w:p>
    <w:p w14:paraId="1DECDBE5">
      <w:pPr>
        <w:autoSpaceDE w:val="0"/>
        <w:spacing w:line="600" w:lineRule="exact"/>
        <w:ind w:right="26"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答辩学年度期末申报当学年优秀学位论文奖。</w:t>
      </w:r>
    </w:p>
    <w:p w14:paraId="0B1223F1">
      <w:pPr>
        <w:autoSpaceDE w:val="0"/>
        <w:spacing w:line="600" w:lineRule="exact"/>
        <w:ind w:right="26" w:firstLine="607" w:firstLineChars="18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评选材料</w:t>
      </w:r>
    </w:p>
    <w:p w14:paraId="2A3C7552">
      <w:pPr>
        <w:autoSpaceDE w:val="0"/>
        <w:spacing w:line="600" w:lineRule="exact"/>
        <w:ind w:right="2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1.《福建理工大学</w:t>
      </w:r>
      <w:r>
        <w:rPr>
          <w:rFonts w:hint="eastAsia" w:ascii="仿宋" w:hAnsi="仿宋" w:eastAsia="仿宋"/>
          <w:spacing w:val="6"/>
          <w:sz w:val="32"/>
          <w:szCs w:val="32"/>
        </w:rPr>
        <w:t>硕士研究生优秀学位论文申报表》一式两</w:t>
      </w:r>
      <w:r>
        <w:rPr>
          <w:rFonts w:hint="eastAsia" w:ascii="仿宋" w:hAnsi="仿宋" w:eastAsia="仿宋"/>
          <w:sz w:val="32"/>
          <w:szCs w:val="32"/>
        </w:rPr>
        <w:t>份。</w:t>
      </w:r>
    </w:p>
    <w:p w14:paraId="44301E56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2.参评的论文全文两份。</w:t>
      </w:r>
    </w:p>
    <w:p w14:paraId="47ABA259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pacing w:val="-6"/>
          <w:sz w:val="32"/>
          <w:szCs w:val="32"/>
        </w:rPr>
        <w:t>申报表成果栏中涉及的论文、专利及其他成果的佐证材料，包括论文检索报告、录用通知、专利证书，奖状证书等复印件。</w:t>
      </w:r>
    </w:p>
    <w:p w14:paraId="1AC37B92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4.学位论文盲审意见。</w:t>
      </w:r>
    </w:p>
    <w:p w14:paraId="482056FC">
      <w:pPr>
        <w:autoSpaceDE w:val="0"/>
        <w:spacing w:line="600" w:lineRule="exact"/>
        <w:ind w:right="26"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评选程序</w:t>
      </w:r>
    </w:p>
    <w:p w14:paraId="3801AD81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pacing w:val="-6"/>
          <w:sz w:val="32"/>
          <w:szCs w:val="32"/>
        </w:rPr>
        <w:t>论文作者经导师推荐向所在学位点提出申请,并填写《福建理工大学</w:t>
      </w:r>
      <w:r>
        <w:rPr>
          <w:rFonts w:hint="eastAsia" w:ascii="仿宋" w:hAnsi="仿宋" w:eastAsia="仿宋"/>
          <w:spacing w:val="6"/>
          <w:sz w:val="32"/>
          <w:szCs w:val="32"/>
        </w:rPr>
        <w:t>硕士研究生优秀学位论文申报表》，提交参评论文和有</w:t>
      </w:r>
      <w:r>
        <w:rPr>
          <w:rFonts w:hint="eastAsia" w:ascii="仿宋" w:hAnsi="仿宋" w:eastAsia="仿宋"/>
          <w:sz w:val="32"/>
          <w:szCs w:val="32"/>
        </w:rPr>
        <w:t>关材料。</w:t>
      </w:r>
    </w:p>
    <w:p w14:paraId="646E7433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2.各学位点研究生培养指导委员会根据学校下达的名额进</w:t>
      </w:r>
      <w:r>
        <w:rPr>
          <w:rFonts w:hint="eastAsia" w:ascii="仿宋" w:hAnsi="仿宋" w:eastAsia="仿宋"/>
          <w:spacing w:val="6"/>
          <w:sz w:val="32"/>
          <w:szCs w:val="32"/>
        </w:rPr>
        <w:t>行评审，并在相关学院内公示3个工作日，上报研究生处。</w:t>
      </w:r>
      <w:r>
        <w:rPr>
          <w:rFonts w:hint="eastAsia" w:ascii="仿宋" w:hAnsi="仿宋" w:eastAsia="仿宋"/>
          <w:sz w:val="32"/>
          <w:szCs w:val="32"/>
        </w:rPr>
        <w:t>学位点若无符合评选标准的论文，允许空缺。</w:t>
      </w:r>
    </w:p>
    <w:p w14:paraId="6D6FCD8A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trike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3.研究生处提交校研究生奖助学金评审领导小组审核，结果在全校范围内公示3个工作日。</w:t>
      </w:r>
    </w:p>
    <w:p w14:paraId="70E59A20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4.任何单位或个人，如发现入选论文存在剽窃、作假、失实等</w:t>
      </w:r>
      <w:r>
        <w:rPr>
          <w:rFonts w:hint="eastAsia" w:ascii="仿宋" w:hAnsi="仿宋" w:eastAsia="仿宋"/>
          <w:spacing w:val="-6"/>
          <w:sz w:val="32"/>
          <w:szCs w:val="32"/>
        </w:rPr>
        <w:t>问题，可在学校公示期内，以书面方</w:t>
      </w:r>
      <w:r>
        <w:rPr>
          <w:rFonts w:hint="eastAsia" w:ascii="仿宋" w:hAnsi="仿宋" w:eastAsia="仿宋"/>
          <w:sz w:val="32"/>
          <w:szCs w:val="32"/>
        </w:rPr>
        <w:t>式向</w:t>
      </w:r>
      <w:r>
        <w:rPr>
          <w:rFonts w:hint="eastAsia" w:ascii="仿宋" w:hAnsi="仿宋" w:eastAsia="仿宋"/>
          <w:spacing w:val="6"/>
          <w:sz w:val="32"/>
          <w:szCs w:val="32"/>
        </w:rPr>
        <w:t>研究生处提出异议。书面材料应包括异议论文的题目、作者姓</w:t>
      </w:r>
      <w:r>
        <w:rPr>
          <w:rFonts w:hint="eastAsia" w:ascii="仿宋" w:hAnsi="仿宋" w:eastAsia="仿宋"/>
          <w:sz w:val="32"/>
          <w:szCs w:val="32"/>
        </w:rPr>
        <w:t>名、异议内容，支持异议的具体证据，以及提出异议者的真实姓</w:t>
      </w:r>
      <w:r>
        <w:rPr>
          <w:rFonts w:hint="eastAsia" w:ascii="仿宋" w:hAnsi="仿宋" w:eastAsia="仿宋"/>
          <w:spacing w:val="6"/>
          <w:sz w:val="32"/>
          <w:szCs w:val="32"/>
        </w:rPr>
        <w:t>名、工作单位、联系电话等。研究生处负责处理异议，并对提</w:t>
      </w:r>
      <w:r>
        <w:rPr>
          <w:rFonts w:hint="eastAsia" w:ascii="仿宋" w:hAnsi="仿宋" w:eastAsia="仿宋"/>
          <w:sz w:val="32"/>
          <w:szCs w:val="32"/>
        </w:rPr>
        <w:t>出异议的单位或个人给予严格保密。</w:t>
      </w:r>
    </w:p>
    <w:p w14:paraId="2E0BE7D7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5.公示期结束后，对公示无异议的名单予以正式公布，并对论文作者和指导教师给予奖励。</w:t>
      </w:r>
    </w:p>
    <w:p w14:paraId="2A7F13D0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6.对</w:t>
      </w:r>
      <w:r>
        <w:rPr>
          <w:rFonts w:hint="eastAsia" w:ascii="仿宋" w:hAnsi="仿宋" w:eastAsia="仿宋"/>
          <w:spacing w:val="6"/>
          <w:sz w:val="32"/>
          <w:szCs w:val="32"/>
        </w:rPr>
        <w:t>已获奖的论文，如发现有剽窃、作假、失实等问题，一</w:t>
      </w:r>
      <w:r>
        <w:rPr>
          <w:rFonts w:hint="eastAsia" w:ascii="仿宋" w:hAnsi="仿宋" w:eastAsia="仿宋"/>
          <w:sz w:val="32"/>
          <w:szCs w:val="32"/>
        </w:rPr>
        <w:t>经认定，取消“福建理工大学硕士研究生优秀学位论文”称号，对已授予的学位将按有关规定进行处理。</w:t>
      </w:r>
    </w:p>
    <w:p w14:paraId="4D88E9C3">
      <w:pPr>
        <w:autoSpaceDE w:val="0"/>
        <w:spacing w:line="600" w:lineRule="exact"/>
        <w:ind w:right="26"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7.省</w:t>
      </w:r>
      <w:r>
        <w:rPr>
          <w:rFonts w:hint="eastAsia" w:ascii="仿宋" w:hAnsi="仿宋" w:eastAsia="仿宋"/>
          <w:spacing w:val="6"/>
          <w:sz w:val="32"/>
          <w:szCs w:val="32"/>
        </w:rPr>
        <w:t>级研究生优秀学位论文遴选推荐工作将根据当学年度校</w:t>
      </w:r>
      <w:r>
        <w:rPr>
          <w:rFonts w:hint="eastAsia" w:ascii="仿宋" w:hAnsi="仿宋" w:eastAsia="仿宋"/>
          <w:sz w:val="32"/>
          <w:szCs w:val="32"/>
        </w:rPr>
        <w:t>级优秀学位论文评选结果进行，届时研究生处将组织校外同行专</w:t>
      </w:r>
      <w:r>
        <w:rPr>
          <w:rFonts w:hint="eastAsia" w:ascii="仿宋" w:hAnsi="仿宋" w:eastAsia="仿宋"/>
          <w:spacing w:val="6"/>
          <w:sz w:val="32"/>
          <w:szCs w:val="32"/>
        </w:rPr>
        <w:t>家对各学位点推荐名单进行通讯评议，并公示5个工作日无异</w:t>
      </w:r>
      <w:r>
        <w:rPr>
          <w:rFonts w:hint="eastAsia" w:ascii="仿宋" w:hAnsi="仿宋" w:eastAsia="仿宋"/>
          <w:sz w:val="32"/>
          <w:szCs w:val="32"/>
        </w:rPr>
        <w:t>议后予以推荐。</w:t>
      </w:r>
    </w:p>
    <w:p w14:paraId="39E1DA79">
      <w:pPr>
        <w:autoSpaceDE w:val="0"/>
        <w:spacing w:line="600" w:lineRule="exact"/>
        <w:ind w:right="26" w:firstLine="608" w:firstLineChars="19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在符合基本条件的情况下，获中国国际“互联网+”大学生创新大赛金奖的项目，其团队研究生成员(排名团队成员前二)，根据获奖项目相关内容撰写的毕业论文，可不占名额推荐申报省级优秀论文。</w:t>
      </w:r>
    </w:p>
    <w:p w14:paraId="1287EA7D">
      <w:pPr>
        <w:widowControl/>
        <w:autoSpaceDE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 奖励措施</w:t>
      </w:r>
    </w:p>
    <w:p w14:paraId="4E22D3C1">
      <w:pPr>
        <w:autoSpaceDE w:val="0"/>
        <w:spacing w:line="600" w:lineRule="exact"/>
        <w:ind w:right="26"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第十条</w:t>
      </w:r>
      <w:r>
        <w:rPr>
          <w:rFonts w:hint="eastAsia" w:ascii="仿宋" w:hAnsi="仿宋" w:eastAsia="仿宋"/>
          <w:sz w:val="32"/>
          <w:szCs w:val="32"/>
        </w:rPr>
        <w:t xml:space="preserve"> 对评选出的优秀硕士研究生学位论文作者及其指导教师进行奖励，颁发荣誉证书和奖金，并在全校范围内表彰。</w:t>
      </w:r>
    </w:p>
    <w:p w14:paraId="69E29B5E">
      <w:pPr>
        <w:autoSpaceDE w:val="0"/>
        <w:spacing w:line="600" w:lineRule="exact"/>
        <w:ind w:right="26" w:firstLine="607" w:firstLineChars="189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第十一条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/>
          <w:spacing w:val="6"/>
          <w:sz w:val="32"/>
          <w:szCs w:val="32"/>
        </w:rPr>
        <w:t>硕士研究生优秀学位论文的作者每人奖励2000</w:t>
      </w:r>
      <w:r>
        <w:rPr>
          <w:rFonts w:hint="eastAsia" w:ascii="仿宋" w:hAnsi="仿宋" w:eastAsia="仿宋"/>
          <w:sz w:val="32"/>
          <w:szCs w:val="32"/>
        </w:rPr>
        <w:t>元，对其导师予以计算工作量10分（限第一导师）。</w:t>
      </w:r>
    </w:p>
    <w:p w14:paraId="3199D3AD">
      <w:pPr>
        <w:autoSpaceDE w:val="0"/>
        <w:spacing w:line="600" w:lineRule="exact"/>
        <w:ind w:right="26" w:firstLine="603" w:firstLineChars="195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b/>
          <w:spacing w:val="-6"/>
          <w:sz w:val="32"/>
          <w:szCs w:val="32"/>
        </w:rPr>
        <w:t xml:space="preserve">第十二条 </w:t>
      </w:r>
      <w:r>
        <w:rPr>
          <w:rFonts w:hint="eastAsia" w:ascii="仿宋" w:hAnsi="仿宋" w:eastAsia="仿宋"/>
          <w:spacing w:val="-6"/>
          <w:sz w:val="32"/>
          <w:szCs w:val="32"/>
        </w:rPr>
        <w:t>硕士研究生优秀学位论文奖评定后一次性发放。</w:t>
      </w:r>
    </w:p>
    <w:p w14:paraId="0FEF9F08">
      <w:pPr>
        <w:widowControl/>
        <w:autoSpaceDE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 附则</w:t>
      </w:r>
    </w:p>
    <w:p w14:paraId="11E2098C">
      <w:pPr>
        <w:autoSpaceDE w:val="0"/>
        <w:spacing w:line="600" w:lineRule="exact"/>
        <w:ind w:right="26" w:firstLine="630" w:firstLineChars="196"/>
        <w:rPr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第十三条 </w:t>
      </w:r>
      <w:r>
        <w:rPr>
          <w:rFonts w:hint="eastAsia" w:ascii="仿宋" w:hAnsi="仿宋" w:eastAsia="仿宋"/>
          <w:spacing w:val="-6"/>
          <w:sz w:val="32"/>
          <w:szCs w:val="32"/>
        </w:rPr>
        <w:t>本办法自公布之日起执行，由研究生处负责解释。原颁布的文件（福工大研工[</w:t>
      </w:r>
      <w:r>
        <w:rPr>
          <w:rFonts w:ascii="仿宋" w:hAnsi="仿宋" w:eastAsia="仿宋"/>
          <w:spacing w:val="-6"/>
          <w:sz w:val="32"/>
          <w:szCs w:val="32"/>
        </w:rPr>
        <w:t>2023]2</w:t>
      </w:r>
      <w:r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pacing w:val="-6"/>
          <w:sz w:val="32"/>
          <w:szCs w:val="32"/>
        </w:rPr>
        <w:t>号</w:t>
      </w:r>
      <w:r>
        <w:rPr>
          <w:rFonts w:hint="eastAsia" w:ascii="仿宋" w:hAnsi="仿宋" w:eastAsia="仿宋"/>
          <w:spacing w:val="-6"/>
          <w:sz w:val="32"/>
          <w:szCs w:val="32"/>
        </w:rPr>
        <w:t>）同时废止。</w:t>
      </w:r>
    </w:p>
    <w:p w14:paraId="73BB1DDB">
      <w:pPr>
        <w:ind w:left="1281" w:hanging="840"/>
      </w:pPr>
      <w:r>
        <w:t xml:space="preserve"> </w:t>
      </w:r>
    </w:p>
    <w:p w14:paraId="0FCCB882">
      <w:pPr>
        <w:adjustRightInd w:val="0"/>
        <w:snapToGrid w:val="0"/>
        <w:spacing w:line="640" w:lineRule="atLeas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14:paraId="20E9D549">
      <w:pPr>
        <w:adjustRightInd w:val="0"/>
        <w:snapToGrid w:val="0"/>
        <w:spacing w:line="640" w:lineRule="atLeas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14:paraId="44035E16">
      <w:pPr>
        <w:adjustRightInd w:val="0"/>
        <w:snapToGrid w:val="0"/>
        <w:spacing w:line="640" w:lineRule="atLeas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14:paraId="18BDE9EF">
      <w:pPr>
        <w:adjustRightInd w:val="0"/>
        <w:snapToGrid w:val="0"/>
        <w:spacing w:line="640" w:lineRule="atLeas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14:paraId="151CC6ED">
      <w:pPr>
        <w:adjustRightInd w:val="0"/>
        <w:snapToGrid w:val="0"/>
        <w:spacing w:line="640" w:lineRule="atLeast"/>
        <w:rPr>
          <w:rFonts w:hint="eastAsia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6640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 w14:paraId="0EAE350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BE20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651467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D4187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A52C23"/>
    <w:multiLevelType w:val="multilevel"/>
    <w:tmpl w:val="4CA52C23"/>
    <w:lvl w:ilvl="0" w:tentative="0">
      <w:start w:val="1"/>
      <w:numFmt w:val="japaneseCounting"/>
      <w:lvlText w:val="第%1章"/>
      <w:lvlJc w:val="left"/>
      <w:pPr>
        <w:ind w:left="12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20" w:hanging="420"/>
      </w:pPr>
    </w:lvl>
    <w:lvl w:ilvl="2" w:tentative="0">
      <w:start w:val="1"/>
      <w:numFmt w:val="lowerRoman"/>
      <w:lvlText w:val="%3."/>
      <w:lvlJc w:val="right"/>
      <w:pPr>
        <w:ind w:left="1440" w:hanging="420"/>
      </w:pPr>
    </w:lvl>
    <w:lvl w:ilvl="3" w:tentative="0">
      <w:start w:val="1"/>
      <w:numFmt w:val="decimal"/>
      <w:lvlText w:val="%4."/>
      <w:lvlJc w:val="left"/>
      <w:pPr>
        <w:ind w:left="1860" w:hanging="420"/>
      </w:pPr>
    </w:lvl>
    <w:lvl w:ilvl="4" w:tentative="0">
      <w:start w:val="1"/>
      <w:numFmt w:val="lowerLetter"/>
      <w:lvlText w:val="%5)"/>
      <w:lvlJc w:val="left"/>
      <w:pPr>
        <w:ind w:left="2280" w:hanging="420"/>
      </w:pPr>
    </w:lvl>
    <w:lvl w:ilvl="5" w:tentative="0">
      <w:start w:val="1"/>
      <w:numFmt w:val="lowerRoman"/>
      <w:lvlText w:val="%6."/>
      <w:lvlJc w:val="right"/>
      <w:pPr>
        <w:ind w:left="2700" w:hanging="420"/>
      </w:pPr>
    </w:lvl>
    <w:lvl w:ilvl="6" w:tentative="0">
      <w:start w:val="1"/>
      <w:numFmt w:val="decimal"/>
      <w:lvlText w:val="%7."/>
      <w:lvlJc w:val="left"/>
      <w:pPr>
        <w:ind w:left="3120" w:hanging="420"/>
      </w:pPr>
    </w:lvl>
    <w:lvl w:ilvl="7" w:tentative="0">
      <w:start w:val="1"/>
      <w:numFmt w:val="lowerLetter"/>
      <w:lvlText w:val="%8)"/>
      <w:lvlJc w:val="left"/>
      <w:pPr>
        <w:ind w:left="3540" w:hanging="420"/>
      </w:pPr>
    </w:lvl>
    <w:lvl w:ilvl="8" w:tentative="0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DFkYjVjNjc0MzlkZmQ3NzgyMmMyNjZjMDJhNzAifQ=="/>
  </w:docVars>
  <w:rsids>
    <w:rsidRoot w:val="005707DF"/>
    <w:rsid w:val="00013809"/>
    <w:rsid w:val="00027B68"/>
    <w:rsid w:val="000468C2"/>
    <w:rsid w:val="000C54E2"/>
    <w:rsid w:val="0021344D"/>
    <w:rsid w:val="002B7D9A"/>
    <w:rsid w:val="003A610A"/>
    <w:rsid w:val="003C02D3"/>
    <w:rsid w:val="00446191"/>
    <w:rsid w:val="00454018"/>
    <w:rsid w:val="00527078"/>
    <w:rsid w:val="005707DF"/>
    <w:rsid w:val="00576288"/>
    <w:rsid w:val="005D0B1C"/>
    <w:rsid w:val="00670BE7"/>
    <w:rsid w:val="00674512"/>
    <w:rsid w:val="006832ED"/>
    <w:rsid w:val="006F5137"/>
    <w:rsid w:val="00722ABC"/>
    <w:rsid w:val="007D1889"/>
    <w:rsid w:val="0082246C"/>
    <w:rsid w:val="008C56C1"/>
    <w:rsid w:val="008C7DDA"/>
    <w:rsid w:val="008E3ECF"/>
    <w:rsid w:val="00914366"/>
    <w:rsid w:val="00922CEF"/>
    <w:rsid w:val="0092338F"/>
    <w:rsid w:val="009547B4"/>
    <w:rsid w:val="009567BB"/>
    <w:rsid w:val="009C654F"/>
    <w:rsid w:val="009C73EF"/>
    <w:rsid w:val="009D66E8"/>
    <w:rsid w:val="009D6D1D"/>
    <w:rsid w:val="009F3C15"/>
    <w:rsid w:val="00A21989"/>
    <w:rsid w:val="00A52975"/>
    <w:rsid w:val="00A61A81"/>
    <w:rsid w:val="00A74CBC"/>
    <w:rsid w:val="00AE4797"/>
    <w:rsid w:val="00B41FFE"/>
    <w:rsid w:val="00B801C0"/>
    <w:rsid w:val="00B80496"/>
    <w:rsid w:val="00B97C30"/>
    <w:rsid w:val="00BA66B9"/>
    <w:rsid w:val="00BF6202"/>
    <w:rsid w:val="00C54EBD"/>
    <w:rsid w:val="00C62444"/>
    <w:rsid w:val="00C63294"/>
    <w:rsid w:val="00CF1B73"/>
    <w:rsid w:val="00CF322C"/>
    <w:rsid w:val="00D32E31"/>
    <w:rsid w:val="00D42F80"/>
    <w:rsid w:val="00D615A2"/>
    <w:rsid w:val="00DA0F1A"/>
    <w:rsid w:val="00DA66E9"/>
    <w:rsid w:val="00DC3BD5"/>
    <w:rsid w:val="00DE1BB4"/>
    <w:rsid w:val="00DF3499"/>
    <w:rsid w:val="00E2152F"/>
    <w:rsid w:val="00E31220"/>
    <w:rsid w:val="00ED05DC"/>
    <w:rsid w:val="00EE672D"/>
    <w:rsid w:val="00EF5680"/>
    <w:rsid w:val="00F237F7"/>
    <w:rsid w:val="00F67E6B"/>
    <w:rsid w:val="00F965B7"/>
    <w:rsid w:val="00FA7654"/>
    <w:rsid w:val="00FB194C"/>
    <w:rsid w:val="00FB195C"/>
    <w:rsid w:val="00FE24AF"/>
    <w:rsid w:val="12B97E6B"/>
    <w:rsid w:val="4F2E6BA5"/>
    <w:rsid w:val="531A523D"/>
    <w:rsid w:val="78BC7187"/>
    <w:rsid w:val="7E7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link w:val="3"/>
    <w:qFormat/>
    <w:uiPriority w:val="0"/>
    <w:rPr>
      <w:rFonts w:ascii="Calibri" w:hAnsi="Calibri" w:eastAsia="宋体" w:cs="Times New Roman"/>
      <w:sz w:val="18"/>
    </w:rPr>
  </w:style>
  <w:style w:type="character" w:customStyle="1" w:styleId="9">
    <w:name w:val="页脚 Char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1737</Characters>
  <Lines>12</Lines>
  <Paragraphs>3</Paragraphs>
  <TotalTime>0</TotalTime>
  <ScaleCrop>false</ScaleCrop>
  <LinksUpToDate>false</LinksUpToDate>
  <CharactersWithSpaces>1884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2023-07-20T15:35:00Z</dcterms:created>
  <dc:creator>fjuty</dc:creator>
  <cp:lastModifiedBy>游烨</cp:lastModifiedBy>
  <dcterms:modified xsi:type="dcterms:W3CDTF">2024-09-13T02:46:47Z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64B43A27704E42D19D5FC2BE47A4F36E_11</vt:lpwstr>
  </property>
</Properties>
</file>