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both"/>
        <w:rPr>
          <w:rFonts w:hint="eastAsia" w:ascii="宋体" w:hAnsi="宋体"/>
          <w:b/>
          <w:bCs/>
          <w:sz w:val="32"/>
          <w:szCs w:val="32"/>
        </w:rPr>
      </w:pPr>
      <w:bookmarkStart w:id="0" w:name="_GoBack"/>
      <w:bookmarkEnd w:id="0"/>
    </w:p>
    <w:p>
      <w:pPr>
        <w:spacing w:line="8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福建理工大学学术型硕士研究生</w:t>
      </w:r>
    </w:p>
    <w:p>
      <w:pPr>
        <w:spacing w:line="8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培养方案基本要求（修订）</w:t>
      </w:r>
    </w:p>
    <w:p>
      <w:pPr>
        <w:spacing w:line="400" w:lineRule="exact"/>
        <w:jc w:val="center"/>
        <w:rPr>
          <w:rFonts w:hint="eastAsia" w:ascii="仿宋_GB2312" w:hAnsi="仿宋_GB2312"/>
          <w:color w:val="000000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为全面贯彻落实全国教育大会、全国研究生教育会议精神，根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据教育部、国家发展改革委、财政部《关于加快新时代研究</w:t>
      </w:r>
      <w:r>
        <w:rPr>
          <w:rFonts w:hint="eastAsia" w:ascii="仿宋" w:hAnsi="仿宋" w:eastAsia="仿宋"/>
          <w:color w:val="000000"/>
          <w:sz w:val="32"/>
          <w:szCs w:val="32"/>
        </w:rPr>
        <w:t>生教育改革发展的意见》（教研〔2020〕9号），国务院学位委员会、教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育部《关于进一步严格规范学位与研究生教育质量管理的若</w:t>
      </w:r>
      <w:r>
        <w:rPr>
          <w:rFonts w:hint="eastAsia" w:ascii="仿宋" w:hAnsi="仿宋" w:eastAsia="仿宋"/>
          <w:color w:val="000000"/>
          <w:sz w:val="32"/>
          <w:szCs w:val="32"/>
        </w:rPr>
        <w:t>干意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见》（学位〔2020〕19 号）及教育部相关文件，现就我校制</w:t>
      </w:r>
      <w:r>
        <w:rPr>
          <w:rFonts w:hint="eastAsia" w:ascii="仿宋" w:hAnsi="仿宋" w:eastAsia="仿宋"/>
          <w:color w:val="000000"/>
          <w:sz w:val="32"/>
          <w:szCs w:val="32"/>
        </w:rPr>
        <w:t>订学术型硕士研究生培养方案提出基本要求。</w:t>
      </w:r>
    </w:p>
    <w:p>
      <w:pPr>
        <w:numPr>
          <w:ilvl w:val="0"/>
          <w:numId w:val="1"/>
        </w:numPr>
        <w:spacing w:line="600" w:lineRule="exact"/>
        <w:ind w:firstLine="602"/>
        <w:rPr>
          <w:rFonts w:hint="eastAsia"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培养目标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学</w:t>
      </w:r>
      <w:r>
        <w:rPr>
          <w:rFonts w:hint="eastAsia" w:ascii="仿宋" w:hAnsi="仿宋" w:eastAsia="仿宋"/>
          <w:color w:val="000000"/>
          <w:spacing w:val="11"/>
          <w:sz w:val="32"/>
          <w:szCs w:val="32"/>
        </w:rPr>
        <w:t>位点应制订公开的，符合学校定位、学科特点和发展水</w:t>
      </w:r>
      <w:r>
        <w:rPr>
          <w:rFonts w:hint="eastAsia" w:ascii="仿宋" w:hAnsi="仿宋" w:eastAsia="仿宋"/>
          <w:color w:val="000000"/>
          <w:sz w:val="32"/>
          <w:szCs w:val="32"/>
        </w:rPr>
        <w:t>平的，适应社会经济发展需要的培养目标，应定期评价培养目标的合理性并根据评价结果对培养目标进行修订。培养目标应体现研究生毕业后5年左右能够达到的职业和专业成就。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培养目标内容涵盖：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1.深</w:t>
      </w:r>
      <w:r>
        <w:rPr>
          <w:rFonts w:hint="eastAsia" w:ascii="仿宋" w:hAnsi="仿宋" w:eastAsia="仿宋"/>
          <w:spacing w:val="-6"/>
          <w:sz w:val="32"/>
          <w:szCs w:val="32"/>
        </w:rPr>
        <w:t>入学习贯彻习近平新时代中国特色社会主义思想，牢</w:t>
      </w:r>
      <w:r>
        <w:rPr>
          <w:rFonts w:hint="eastAsia" w:ascii="仿宋" w:hAnsi="仿宋" w:eastAsia="仿宋"/>
          <w:sz w:val="32"/>
          <w:szCs w:val="32"/>
        </w:rPr>
        <w:t>固树立“两个确立”，增强“四个意识”，坚定“四个自信”，做到“两</w:t>
      </w:r>
      <w:r>
        <w:rPr>
          <w:rFonts w:hint="eastAsia" w:ascii="仿宋" w:hAnsi="仿宋" w:eastAsia="仿宋"/>
          <w:spacing w:val="-6"/>
          <w:sz w:val="32"/>
          <w:szCs w:val="32"/>
        </w:rPr>
        <w:t>个维护”。遵纪守法，具有良好的职业道德和敬业精神，养</w:t>
      </w:r>
      <w:r>
        <w:rPr>
          <w:rFonts w:hint="eastAsia" w:ascii="仿宋" w:hAnsi="仿宋" w:eastAsia="仿宋"/>
          <w:sz w:val="32"/>
          <w:szCs w:val="32"/>
        </w:rPr>
        <w:t>成“真</w:t>
      </w:r>
      <w:r>
        <w:rPr>
          <w:rFonts w:hint="eastAsia" w:ascii="仿宋" w:hAnsi="仿宋" w:eastAsia="仿宋"/>
          <w:spacing w:val="-6"/>
          <w:sz w:val="32"/>
          <w:szCs w:val="32"/>
        </w:rPr>
        <w:t>诚勤勇”的优秀品质，成为德智体美劳全面发展的社会主</w:t>
      </w:r>
      <w:r>
        <w:rPr>
          <w:rFonts w:hint="eastAsia" w:ascii="仿宋" w:hAnsi="仿宋" w:eastAsia="仿宋"/>
          <w:sz w:val="32"/>
          <w:szCs w:val="32"/>
        </w:rPr>
        <w:t>义建设者和接班人。</w:t>
      </w:r>
    </w:p>
    <w:p>
      <w:pPr>
        <w:pStyle w:val="9"/>
        <w:widowControl/>
        <w:spacing w:line="600" w:lineRule="exact"/>
        <w:ind w:firstLine="64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2.适应科技进步和社会发展的需要，掌握坚实的基础理论和系统的专业知识，具有从事科学研究或专业技术工作的能力，具有一定国际视野，具备应用外语开展科研工作的能力。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3.恪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守学术道德、崇尚学术诚信，养成严谨的科研工作作</w:t>
      </w:r>
      <w:r>
        <w:rPr>
          <w:rFonts w:hint="eastAsia" w:ascii="仿宋" w:hAnsi="仿宋" w:eastAsia="仿宋"/>
          <w:color w:val="000000"/>
          <w:sz w:val="32"/>
          <w:szCs w:val="32"/>
        </w:rPr>
        <w:t>风，具有创新精神和科研素养。</w:t>
      </w:r>
    </w:p>
    <w:p>
      <w:pPr>
        <w:spacing w:line="600" w:lineRule="exact"/>
        <w:ind w:firstLine="643" w:firstLineChars="200"/>
        <w:rPr>
          <w:rFonts w:hint="eastAsia"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二、研究方向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学位点设置科学、规范、相对稳定的研究方向。研究方向参考《学位授予和人才培养一级学科简介》中学科范围要求，同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时考虑特色和优势，提倡在国家和社会发展急需的领域、学</w:t>
      </w:r>
      <w:r>
        <w:rPr>
          <w:rFonts w:hint="eastAsia" w:ascii="仿宋" w:hAnsi="仿宋" w:eastAsia="仿宋"/>
          <w:color w:val="000000"/>
          <w:sz w:val="32"/>
          <w:szCs w:val="32"/>
        </w:rPr>
        <w:t>科交叉和渗透的领域设置研究方向。</w:t>
      </w:r>
    </w:p>
    <w:p>
      <w:pPr>
        <w:spacing w:line="600" w:lineRule="exact"/>
        <w:ind w:firstLine="643" w:firstLineChars="200"/>
        <w:rPr>
          <w:rFonts w:hint="eastAsia"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三、学习年限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全日制研究生学制为3年，学习年限不超过4年。</w:t>
      </w:r>
    </w:p>
    <w:p>
      <w:pPr>
        <w:spacing w:line="600" w:lineRule="exact"/>
        <w:ind w:firstLine="643" w:firstLineChars="200"/>
        <w:rPr>
          <w:rFonts w:hint="eastAsia"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四、培养方式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pacing w:val="11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硕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士研究生培养实行导师负责制或导师组负责制，负责制</w:t>
      </w:r>
      <w:r>
        <w:rPr>
          <w:rFonts w:hint="eastAsia" w:ascii="仿宋" w:hAnsi="仿宋" w:eastAsia="仿宋"/>
          <w:color w:val="000000"/>
          <w:sz w:val="32"/>
          <w:szCs w:val="32"/>
        </w:rPr>
        <w:t>订研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究生培养计划和指导研究生的课程学习、科学研究、学位论</w:t>
      </w:r>
      <w:r>
        <w:rPr>
          <w:rFonts w:hint="eastAsia" w:ascii="仿宋" w:hAnsi="仿宋" w:eastAsia="仿宋"/>
          <w:color w:val="000000"/>
          <w:sz w:val="32"/>
          <w:szCs w:val="32"/>
        </w:rPr>
        <w:t>文研</w:t>
      </w:r>
      <w:r>
        <w:rPr>
          <w:rFonts w:hint="eastAsia" w:ascii="仿宋" w:hAnsi="仿宋" w:eastAsia="仿宋"/>
          <w:color w:val="000000"/>
          <w:spacing w:val="11"/>
          <w:sz w:val="32"/>
          <w:szCs w:val="32"/>
        </w:rPr>
        <w:t>究及品德教育等，采取课程学习和学位论文相结合的培养方式。</w:t>
      </w:r>
    </w:p>
    <w:p>
      <w:pPr>
        <w:spacing w:line="600" w:lineRule="exact"/>
        <w:ind w:firstLine="643" w:firstLineChars="200"/>
        <w:rPr>
          <w:rFonts w:hint="eastAsia"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五、课程设置及学分要求</w:t>
      </w:r>
    </w:p>
    <w:p>
      <w:pPr>
        <w:spacing w:line="600" w:lineRule="exact"/>
        <w:ind w:firstLine="643" w:firstLineChars="200"/>
        <w:rPr>
          <w:rFonts w:hint="eastAsia"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1、课程设置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课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程体系包括公共必修课、专业必修课、选修课、学术活</w:t>
      </w:r>
      <w:r>
        <w:rPr>
          <w:rFonts w:hint="eastAsia" w:ascii="仿宋" w:hAnsi="仿宋" w:eastAsia="仿宋"/>
          <w:color w:val="000000"/>
          <w:sz w:val="32"/>
          <w:szCs w:val="32"/>
        </w:rPr>
        <w:t>动、实践环节和学术规范教育</w:t>
      </w:r>
      <w:r>
        <w:rPr>
          <w:rFonts w:hint="eastAsia" w:ascii="仿宋" w:hAnsi="仿宋" w:eastAsia="仿宋"/>
          <w:color w:val="000000"/>
          <w:spacing w:val="6"/>
          <w:sz w:val="32"/>
          <w:szCs w:val="32"/>
        </w:rPr>
        <w:t>。</w:t>
      </w:r>
      <w:r>
        <w:rPr>
          <w:rFonts w:hint="eastAsia" w:ascii="仿宋" w:hAnsi="仿宋" w:eastAsia="仿宋"/>
          <w:color w:val="000000"/>
          <w:sz w:val="32"/>
          <w:szCs w:val="32"/>
        </w:rPr>
        <w:t>课程考核按《福建理工大学研究生教学管理规定（修订）》执行，课程考核合格后取得学分，所有课程60分及以上为合格。</w:t>
      </w:r>
    </w:p>
    <w:p>
      <w:pPr>
        <w:spacing w:line="600" w:lineRule="exact"/>
        <w:ind w:firstLine="643" w:firstLineChars="200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2、学分要求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总学分为32学分</w:t>
      </w:r>
      <w:r>
        <w:rPr>
          <w:rFonts w:hint="eastAsia" w:ascii="仿宋" w:hAnsi="仿宋" w:eastAsia="仿宋"/>
          <w:color w:val="000000"/>
          <w:spacing w:val="6"/>
          <w:sz w:val="32"/>
          <w:szCs w:val="32"/>
        </w:rPr>
        <w:t>。其中，</w:t>
      </w:r>
      <w:r>
        <w:rPr>
          <w:rFonts w:hint="eastAsia" w:ascii="仿宋" w:hAnsi="仿宋" w:eastAsia="仿宋"/>
          <w:color w:val="000000"/>
          <w:sz w:val="32"/>
          <w:szCs w:val="32"/>
        </w:rPr>
        <w:t>公共必修课9学分，专业必修课8学分，选修课10学分，学术活动2学分，实践环节3学分。每门课程学时一般不高于54学时，每18学时为1学分。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（1）公共必修课  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完成表1课程学习并考核合格获得9学分。</w:t>
      </w:r>
    </w:p>
    <w:p>
      <w:pPr>
        <w:widowControl/>
        <w:spacing w:line="1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widowControl/>
        <w:spacing w:line="560" w:lineRule="exact"/>
        <w:ind w:firstLine="643" w:firstLineChars="200"/>
        <w:jc w:val="center"/>
        <w:rPr>
          <w:rFonts w:hint="eastAsia"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表1 公共必修课</w:t>
      </w:r>
    </w:p>
    <w:tbl>
      <w:tblPr>
        <w:tblStyle w:val="4"/>
        <w:tblW w:w="82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6"/>
        <w:gridCol w:w="3408"/>
        <w:gridCol w:w="1245"/>
        <w:gridCol w:w="12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30"/>
                <w:szCs w:val="30"/>
              </w:rPr>
              <w:t>开课学院</w:t>
            </w:r>
          </w:p>
        </w:tc>
        <w:tc>
          <w:tcPr>
            <w:tcW w:w="34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30"/>
                <w:szCs w:val="30"/>
              </w:rPr>
              <w:t>课程名称</w:t>
            </w:r>
          </w:p>
        </w:tc>
        <w:tc>
          <w:tcPr>
            <w:tcW w:w="12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30"/>
                <w:szCs w:val="30"/>
              </w:rPr>
              <w:t>学时</w:t>
            </w:r>
          </w:p>
        </w:tc>
        <w:tc>
          <w:tcPr>
            <w:tcW w:w="12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30"/>
                <w:szCs w:val="30"/>
              </w:rPr>
              <w:t>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马克思主义学院</w:t>
            </w:r>
          </w:p>
        </w:tc>
        <w:tc>
          <w:tcPr>
            <w:tcW w:w="34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中国特色社会主义理论与实践研究</w:t>
            </w:r>
          </w:p>
        </w:tc>
        <w:tc>
          <w:tcPr>
            <w:tcW w:w="12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马克思主义学院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自然辩证法概论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5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人文学院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研究生英语（一）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5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人文学院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研究生英语（二）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56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人文学院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硕士生英语口语</w:t>
            </w:r>
          </w:p>
        </w:tc>
        <w:tc>
          <w:tcPr>
            <w:tcW w:w="12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各学位点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学术论文写作</w:t>
            </w:r>
          </w:p>
        </w:tc>
        <w:tc>
          <w:tcPr>
            <w:tcW w:w="12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各学位点</w:t>
            </w:r>
          </w:p>
        </w:tc>
        <w:tc>
          <w:tcPr>
            <w:tcW w:w="34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6"/>
                <w:sz w:val="28"/>
                <w:szCs w:val="28"/>
              </w:rPr>
              <w:t>学术道德与学术规范专题</w:t>
            </w:r>
          </w:p>
        </w:tc>
        <w:tc>
          <w:tcPr>
            <w:tcW w:w="12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（2）专业必修课：数学类课程、专业类课程  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学位点依据学位授予标准、研究方向内涵和特色等，参照国务院学位委员会学科评议组《学术学位研究生核心课程指南》</w:t>
      </w:r>
      <w:r>
        <w:rPr>
          <w:rFonts w:hint="eastAsia" w:ascii="仿宋" w:hAnsi="仿宋" w:eastAsia="仿宋" w:cs="宋体"/>
          <w:sz w:val="32"/>
          <w:szCs w:val="32"/>
        </w:rPr>
        <w:t>的要求，</w:t>
      </w:r>
      <w:r>
        <w:rPr>
          <w:rFonts w:hint="eastAsia" w:ascii="仿宋" w:hAnsi="仿宋" w:eastAsia="仿宋"/>
          <w:color w:val="000000"/>
          <w:sz w:val="32"/>
          <w:szCs w:val="32"/>
        </w:rPr>
        <w:t>按一级学科或研究方向设置数学类和专业类课程作为专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业必修课，至少修满8学分。由学校安排开设可供学位点选</w:t>
      </w:r>
      <w:r>
        <w:rPr>
          <w:rFonts w:hint="eastAsia" w:ascii="仿宋" w:hAnsi="仿宋" w:eastAsia="仿宋"/>
          <w:color w:val="000000"/>
          <w:sz w:val="32"/>
          <w:szCs w:val="32"/>
        </w:rPr>
        <w:t>择的数学类课程如表2所示。</w:t>
      </w:r>
    </w:p>
    <w:p>
      <w:pPr>
        <w:widowControl/>
        <w:spacing w:line="1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widowControl/>
        <w:spacing w:line="560" w:lineRule="exact"/>
        <w:jc w:val="center"/>
        <w:rPr>
          <w:rFonts w:hint="eastAsia" w:ascii="仿宋" w:hAnsi="仿宋" w:eastAsia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bCs/>
          <w:color w:val="000000"/>
          <w:sz w:val="30"/>
          <w:szCs w:val="30"/>
        </w:rPr>
        <w:t>表2 全校性数学类课程</w:t>
      </w:r>
    </w:p>
    <w:tbl>
      <w:tblPr>
        <w:tblStyle w:val="4"/>
        <w:tblW w:w="86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2616"/>
        <w:gridCol w:w="1380"/>
        <w:gridCol w:w="12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30"/>
                <w:szCs w:val="30"/>
              </w:rPr>
              <w:t>开课学院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30"/>
                <w:szCs w:val="30"/>
              </w:rPr>
              <w:t>课程名称</w:t>
            </w:r>
          </w:p>
        </w:tc>
        <w:tc>
          <w:tcPr>
            <w:tcW w:w="13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30"/>
                <w:szCs w:val="30"/>
              </w:rPr>
              <w:t>学时</w:t>
            </w:r>
          </w:p>
        </w:tc>
        <w:tc>
          <w:tcPr>
            <w:tcW w:w="12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30"/>
                <w:szCs w:val="30"/>
              </w:rPr>
              <w:t>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计算机科学与数学学院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矩阵论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9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计算机科学与数学学院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数学物理方程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计算机科学与数学学院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数值分析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计算机科学与数学学院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随机过程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计算机科学与数学学院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统计分析方法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z w:val="30"/>
                <w:szCs w:val="30"/>
              </w:rPr>
              <w:t>2</w:t>
            </w:r>
          </w:p>
        </w:tc>
      </w:tr>
    </w:tbl>
    <w:p>
      <w:pPr>
        <w:widowControl/>
        <w:spacing w:line="280" w:lineRule="exact"/>
        <w:ind w:firstLine="600" w:firstLineChars="200"/>
        <w:rPr>
          <w:rFonts w:hint="eastAsia" w:ascii="仿宋" w:hAnsi="仿宋" w:eastAsia="仿宋"/>
          <w:color w:val="000000"/>
          <w:sz w:val="30"/>
          <w:szCs w:val="30"/>
        </w:rPr>
      </w:pP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（3）选修课  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学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位点依据学位授予标准、研究方向内涵和特色等设置公</w:t>
      </w:r>
      <w:r>
        <w:rPr>
          <w:rFonts w:hint="eastAsia" w:ascii="仿宋" w:hAnsi="仿宋" w:eastAsia="仿宋"/>
          <w:color w:val="000000"/>
          <w:sz w:val="32"/>
          <w:szCs w:val="32"/>
        </w:rPr>
        <w:t>共选修课和专业选修课，至少修满10学分，允许跨学院或跨研究方向</w:t>
      </w:r>
      <w:r>
        <w:rPr>
          <w:rFonts w:hint="eastAsia" w:ascii="仿宋" w:hAnsi="仿宋" w:eastAsia="仿宋"/>
          <w:sz w:val="32"/>
          <w:szCs w:val="32"/>
        </w:rPr>
        <w:t>选修课程。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由学校安排开设可供学位点选择的公共选修课如表3所示，其</w:t>
      </w:r>
      <w:r>
        <w:rPr>
          <w:rFonts w:hint="eastAsia" w:ascii="仿宋" w:hAnsi="仿宋" w:eastAsia="仿宋"/>
          <w:spacing w:val="-6"/>
          <w:sz w:val="32"/>
          <w:szCs w:val="32"/>
        </w:rPr>
        <w:t>中美学类课程可从设计美学、生活美学、走进林纾、音乐欣</w:t>
      </w:r>
      <w:r>
        <w:rPr>
          <w:rFonts w:hint="eastAsia" w:ascii="仿宋" w:hAnsi="仿宋" w:eastAsia="仿宋"/>
          <w:sz w:val="32"/>
          <w:szCs w:val="32"/>
        </w:rPr>
        <w:t>赏、形体舞蹈等中任选一门。体育类课程从篮球、网球、羽毛球和瑜伽等中任选一门。</w:t>
      </w:r>
    </w:p>
    <w:p>
      <w:pPr>
        <w:widowControl/>
        <w:spacing w:line="1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widowControl/>
        <w:spacing w:line="560" w:lineRule="exact"/>
        <w:jc w:val="center"/>
        <w:rPr>
          <w:rFonts w:hint="eastAsia"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表3 公共选修课</w:t>
      </w:r>
    </w:p>
    <w:tbl>
      <w:tblPr>
        <w:tblStyle w:val="4"/>
        <w:tblW w:w="8621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3761"/>
        <w:gridCol w:w="1065"/>
        <w:gridCol w:w="975"/>
        <w:gridCol w:w="11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开课学院</w:t>
            </w:r>
          </w:p>
        </w:tc>
        <w:tc>
          <w:tcPr>
            <w:tcW w:w="37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课程名称</w:t>
            </w:r>
          </w:p>
        </w:tc>
        <w:tc>
          <w:tcPr>
            <w:tcW w:w="10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学时</w:t>
            </w:r>
          </w:p>
        </w:tc>
        <w:tc>
          <w:tcPr>
            <w:tcW w:w="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学分</w:t>
            </w:r>
          </w:p>
        </w:tc>
        <w:tc>
          <w:tcPr>
            <w:tcW w:w="11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5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人文学院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人文素养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18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5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设计学院/</w:t>
            </w:r>
          </w:p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人文学院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美学类课程</w:t>
            </w:r>
          </w:p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（设计美学/生活美学/走进林纾/音乐欣赏/形体舞蹈等）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18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可任选</w:t>
            </w:r>
          </w:p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一门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体育部</w:t>
            </w:r>
          </w:p>
        </w:tc>
        <w:tc>
          <w:tcPr>
            <w:tcW w:w="3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体育类课程</w:t>
            </w:r>
          </w:p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（篮球/网球/羽毛球/瑜伽等）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18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</w:t>
            </w: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可任选</w:t>
            </w:r>
          </w:p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一门</w:t>
            </w:r>
          </w:p>
        </w:tc>
      </w:tr>
    </w:tbl>
    <w:p>
      <w:pPr>
        <w:widowControl/>
        <w:spacing w:line="28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（4）学术活动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spacing w:val="-6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研究生阶段听取学术报告不少于10次，每次完成2000字以上心得体会，经学位点考核合格获得2学分</w:t>
      </w:r>
      <w:r>
        <w:rPr>
          <w:rFonts w:hint="eastAsia" w:ascii="仿宋" w:hAnsi="仿宋" w:eastAsia="仿宋"/>
          <w:spacing w:val="-6"/>
          <w:sz w:val="32"/>
          <w:szCs w:val="32"/>
        </w:rPr>
        <w:t xml:space="preserve">。  </w:t>
      </w:r>
    </w:p>
    <w:p>
      <w:pPr>
        <w:widowControl/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实践环节 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完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成表4任意一项实践项目，经学位点考核合格获得3学</w:t>
      </w:r>
      <w:r>
        <w:rPr>
          <w:rFonts w:hint="eastAsia" w:ascii="仿宋" w:hAnsi="仿宋" w:eastAsia="仿宋"/>
          <w:color w:val="000000"/>
          <w:sz w:val="32"/>
          <w:szCs w:val="32"/>
        </w:rPr>
        <w:t>分。用于计算本环节学分的成果不再作为满足毕业条件基本要求的科</w:t>
      </w:r>
      <w:r>
        <w:rPr>
          <w:rFonts w:hint="eastAsia" w:ascii="仿宋" w:hAnsi="仿宋" w:eastAsia="仿宋"/>
          <w:color w:val="000000"/>
          <w:spacing w:val="11"/>
          <w:sz w:val="32"/>
          <w:szCs w:val="32"/>
        </w:rPr>
        <w:t>研成果。各实践项目级别、署名要求、成果考核标准等由学</w:t>
      </w:r>
      <w:r>
        <w:rPr>
          <w:rFonts w:hint="eastAsia" w:ascii="仿宋" w:hAnsi="仿宋" w:eastAsia="仿宋"/>
          <w:color w:val="000000"/>
          <w:sz w:val="32"/>
          <w:szCs w:val="32"/>
        </w:rPr>
        <w:t>位点制定。</w:t>
      </w:r>
    </w:p>
    <w:p>
      <w:pPr>
        <w:widowControl/>
        <w:spacing w:line="560" w:lineRule="exact"/>
        <w:jc w:val="center"/>
        <w:rPr>
          <w:rFonts w:hint="eastAsia" w:ascii="仿宋" w:hAnsi="仿宋" w:eastAsia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bCs/>
          <w:color w:val="000000"/>
          <w:sz w:val="30"/>
          <w:szCs w:val="30"/>
        </w:rPr>
        <w:t>表4 实践项目及考核形式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3480"/>
        <w:gridCol w:w="308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仿宋" w:hAnsi="仿宋" w:eastAsia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仿宋" w:hAnsi="仿宋" w:eastAsia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30"/>
                <w:szCs w:val="30"/>
              </w:rPr>
              <w:t>实践项目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仿宋" w:hAnsi="仿宋" w:eastAsia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30"/>
                <w:szCs w:val="30"/>
              </w:rPr>
              <w:t>考核形式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3" w:lineRule="auto"/>
              <w:jc w:val="center"/>
              <w:rPr>
                <w:rFonts w:ascii="仿宋" w:hAnsi="仿宋" w:eastAsia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工程实践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实践报告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任选  一项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社会实践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社会实践报告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专业调研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调研报告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论文发表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刊物或论文录用通知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5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专利申请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专利申请受理通知书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6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作学术报告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spacing w:val="-6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进行学术报告的</w:t>
            </w:r>
            <w:r>
              <w:rPr>
                <w:rFonts w:hint="eastAsia" w:ascii="仿宋" w:hAnsi="仿宋" w:eastAsia="仿宋"/>
                <w:color w:val="000000"/>
                <w:spacing w:val="-6"/>
                <w:kern w:val="0"/>
                <w:sz w:val="30"/>
                <w:szCs w:val="30"/>
              </w:rPr>
              <w:t>相关</w:t>
            </w:r>
          </w:p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spacing w:val="-6"/>
                <w:kern w:val="0"/>
                <w:sz w:val="30"/>
                <w:szCs w:val="30"/>
              </w:rPr>
              <w:t>证明材料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7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申请软件著作权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软件著作权证书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8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  <w:highlight w:val="yellow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作品参展参赛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  <w:highlight w:val="yellow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参展证明/获奖证书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9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助教助管或志愿者服务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助管助教或志愿者服务证明材料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10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参加研究生创新创业大赛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参赛证明或获奖证书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11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学位点认定的其它相当</w:t>
            </w:r>
          </w:p>
          <w:p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水平的实践项目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30"/>
                <w:szCs w:val="30"/>
              </w:rPr>
              <w:t>由学位点确定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30"/>
                <w:szCs w:val="30"/>
              </w:rPr>
            </w:pPr>
          </w:p>
        </w:tc>
      </w:tr>
    </w:tbl>
    <w:p>
      <w:pPr>
        <w:widowControl/>
        <w:spacing w:line="160" w:lineRule="exact"/>
        <w:ind w:firstLine="600" w:firstLineChars="200"/>
        <w:rPr>
          <w:rFonts w:hint="eastAsia" w:ascii="仿宋" w:hAnsi="仿宋" w:eastAsia="仿宋"/>
          <w:color w:val="000000"/>
          <w:sz w:val="30"/>
          <w:szCs w:val="30"/>
        </w:rPr>
      </w:pP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（6）补修课程 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pacing w:val="-6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同等学力或跨学科专业的硕士研究生，在导师指导下确定2～3门本学科的本科生主干课程作为补修课程，没有补修成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绩或补修课程考试不合格者不得进入论文答辩。补修课程不计学分。</w:t>
      </w:r>
    </w:p>
    <w:p>
      <w:pPr>
        <w:widowControl/>
        <w:spacing w:line="620" w:lineRule="exact"/>
        <w:ind w:firstLine="640" w:firstLineChars="200"/>
        <w:rPr>
          <w:rFonts w:hint="eastAsia" w:ascii="仿宋" w:hAnsi="仿宋" w:eastAsia="仿宋"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（7）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 xml:space="preserve">学术规范教育 </w:t>
      </w:r>
    </w:p>
    <w:p>
      <w:pPr>
        <w:widowControl/>
        <w:spacing w:line="620" w:lineRule="exact"/>
        <w:ind w:firstLine="640" w:firstLineChars="200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组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织研究生学习《高等学校科学技术学术规范指南》，将学</w:t>
      </w:r>
      <w:r>
        <w:rPr>
          <w:rFonts w:hint="eastAsia" w:ascii="仿宋" w:hAnsi="仿宋" w:eastAsia="仿宋"/>
          <w:color w:val="000000"/>
          <w:sz w:val="32"/>
          <w:szCs w:val="32"/>
        </w:rPr>
        <w:t>术规范、学术道德和学术诚信教育融入新生入学教育、课程学习、论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文指导、毕业教育等培养全过程。本环节作为研究生必修环</w:t>
      </w:r>
      <w:r>
        <w:rPr>
          <w:rFonts w:hint="eastAsia" w:ascii="仿宋" w:hAnsi="仿宋" w:eastAsia="仿宋"/>
          <w:color w:val="000000"/>
          <w:sz w:val="32"/>
          <w:szCs w:val="32"/>
        </w:rPr>
        <w:t>节，但不计学分。</w:t>
      </w:r>
    </w:p>
    <w:p>
      <w:pPr>
        <w:numPr>
          <w:ilvl w:val="0"/>
          <w:numId w:val="3"/>
        </w:numPr>
        <w:spacing w:line="620" w:lineRule="exact"/>
        <w:ind w:firstLine="643" w:firstLineChars="200"/>
        <w:rPr>
          <w:rFonts w:hint="eastAsia"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学位论文工作</w:t>
      </w:r>
    </w:p>
    <w:p>
      <w:pPr>
        <w:spacing w:line="62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学位论文开题报告、中期考核、预答辩、答辩等环节具体要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求详见《福建理工大学硕士研究生学位论文管理规范（修</w:t>
      </w:r>
      <w:r>
        <w:rPr>
          <w:rFonts w:hint="eastAsia" w:ascii="仿宋" w:hAnsi="仿宋" w:eastAsia="仿宋"/>
          <w:color w:val="000000"/>
          <w:sz w:val="32"/>
          <w:szCs w:val="32"/>
        </w:rPr>
        <w:t>订）》。</w:t>
      </w:r>
    </w:p>
    <w:p>
      <w:pPr>
        <w:spacing w:line="620" w:lineRule="exact"/>
        <w:ind w:firstLine="640" w:firstLineChars="200"/>
        <w:rPr>
          <w:rFonts w:hint="eastAsia"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七、毕业与学位授予</w:t>
      </w:r>
    </w:p>
    <w:p>
      <w:pPr>
        <w:spacing w:line="62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学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位点应制定不低于《福建理工大学硕士学位授予工作细</w:t>
      </w:r>
      <w:r>
        <w:rPr>
          <w:rFonts w:hint="eastAsia" w:ascii="仿宋" w:hAnsi="仿宋" w:eastAsia="仿宋"/>
          <w:color w:val="000000"/>
          <w:sz w:val="32"/>
          <w:szCs w:val="32"/>
        </w:rPr>
        <w:t>则（修</w:t>
      </w:r>
      <w:r>
        <w:rPr>
          <w:rFonts w:hint="eastAsia" w:ascii="仿宋" w:hAnsi="仿宋" w:eastAsia="仿宋"/>
          <w:color w:val="000000"/>
          <w:spacing w:val="6"/>
          <w:sz w:val="32"/>
          <w:szCs w:val="32"/>
        </w:rPr>
        <w:t>订）》的毕业要求。在规定的学习年限内，修完个人培养方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案规定的全部课程和全部培养环节，成绩合格且取得相应学</w:t>
      </w:r>
      <w:r>
        <w:rPr>
          <w:rFonts w:hint="eastAsia" w:ascii="仿宋" w:hAnsi="仿宋" w:eastAsia="仿宋"/>
          <w:color w:val="000000"/>
          <w:sz w:val="32"/>
          <w:szCs w:val="32"/>
        </w:rPr>
        <w:t>分，学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位论文答辩通过，准予毕业；达到硕士授予要求者，经校学</w:t>
      </w:r>
      <w:r>
        <w:rPr>
          <w:rFonts w:hint="eastAsia" w:ascii="仿宋" w:hAnsi="仿宋" w:eastAsia="仿宋"/>
          <w:color w:val="000000"/>
          <w:sz w:val="32"/>
          <w:szCs w:val="32"/>
        </w:rPr>
        <w:t>位评定委员会审批，同意授予其学位后，授予相应学位。</w:t>
      </w:r>
    </w:p>
    <w:p>
      <w:pPr>
        <w:spacing w:line="620" w:lineRule="exact"/>
        <w:ind w:firstLine="643" w:firstLineChars="200"/>
        <w:rPr>
          <w:rFonts w:hint="eastAsia"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八、其他</w:t>
      </w:r>
    </w:p>
    <w:p>
      <w:pPr>
        <w:widowControl/>
        <w:spacing w:line="62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1.本方案自2022级研究生起开始执行。</w:t>
      </w:r>
    </w:p>
    <w:p>
      <w:pPr>
        <w:widowControl/>
        <w:spacing w:line="62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2.本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规定是各学位点制订硕士研究生培养方案的基本要</w:t>
      </w:r>
      <w:r>
        <w:rPr>
          <w:rFonts w:hint="eastAsia" w:ascii="仿宋" w:hAnsi="仿宋" w:eastAsia="仿宋"/>
          <w:color w:val="000000"/>
          <w:sz w:val="32"/>
          <w:szCs w:val="32"/>
        </w:rPr>
        <w:t>求，各</w:t>
      </w:r>
      <w:r>
        <w:rPr>
          <w:rFonts w:hint="eastAsia" w:ascii="仿宋" w:hAnsi="仿宋" w:eastAsia="仿宋"/>
          <w:color w:val="000000"/>
          <w:spacing w:val="6"/>
          <w:sz w:val="32"/>
          <w:szCs w:val="32"/>
        </w:rPr>
        <w:t>学位点培养指导委员会应根据学位点发展现状和目标制订不</w:t>
      </w:r>
      <w:r>
        <w:rPr>
          <w:rFonts w:hint="eastAsia" w:ascii="仿宋" w:hAnsi="仿宋" w:eastAsia="仿宋"/>
          <w:color w:val="000000"/>
          <w:sz w:val="32"/>
          <w:szCs w:val="32"/>
        </w:rPr>
        <w:t>低于本规定要求的培养方案，经专家论证后报研究生处备案。</w:t>
      </w:r>
    </w:p>
    <w:p>
      <w:pPr>
        <w:widowControl/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3.本</w:t>
      </w:r>
      <w:r>
        <w:rPr>
          <w:rFonts w:hint="eastAsia" w:ascii="仿宋" w:hAnsi="仿宋" w:eastAsia="仿宋"/>
          <w:color w:val="000000"/>
          <w:spacing w:val="-6"/>
          <w:sz w:val="32"/>
          <w:szCs w:val="32"/>
        </w:rPr>
        <w:t>规定由校研究生处负责解释。原颁布的文件《福建工</w:t>
      </w:r>
      <w:r>
        <w:rPr>
          <w:rFonts w:hint="eastAsia" w:ascii="仿宋" w:hAnsi="仿宋" w:eastAsia="仿宋"/>
          <w:color w:val="000000"/>
          <w:sz w:val="32"/>
          <w:szCs w:val="32"/>
        </w:rPr>
        <w:t>程学院关于制订学术型硕士研究生培养方案的基本要求（修订）》（闽工院研工〔2022〕10号）同时废止。</w:t>
      </w:r>
    </w:p>
    <w:p>
      <w:pPr>
        <w:rPr>
          <w:rFonts w:hint="eastAsia"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br w:type="page"/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附表：</w:t>
      </w:r>
    </w:p>
    <w:p>
      <w:pPr>
        <w:spacing w:line="280" w:lineRule="exact"/>
        <w:rPr>
          <w:rFonts w:hint="eastAsia" w:ascii="仿宋" w:hAnsi="仿宋" w:eastAsia="仿宋"/>
          <w:b/>
          <w:bCs/>
          <w:color w:val="000000"/>
          <w:sz w:val="32"/>
          <w:szCs w:val="32"/>
        </w:rPr>
      </w:pPr>
    </w:p>
    <w:p>
      <w:pPr>
        <w:spacing w:line="480" w:lineRule="exact"/>
        <w:jc w:val="center"/>
        <w:rPr>
          <w:rFonts w:hint="eastAsia"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福建理工大学学术型硕士研究生培养方案课程体系（样式）</w:t>
      </w:r>
    </w:p>
    <w:tbl>
      <w:tblPr>
        <w:tblStyle w:val="4"/>
        <w:tblW w:w="862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990"/>
        <w:gridCol w:w="2891"/>
        <w:gridCol w:w="810"/>
        <w:gridCol w:w="889"/>
        <w:gridCol w:w="1035"/>
        <w:gridCol w:w="10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课程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开课学院</w:t>
            </w:r>
          </w:p>
        </w:tc>
        <w:tc>
          <w:tcPr>
            <w:tcW w:w="2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课程名称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学时</w:t>
            </w:r>
          </w:p>
        </w:tc>
        <w:tc>
          <w:tcPr>
            <w:tcW w:w="8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学分</w:t>
            </w: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修习   类型</w:t>
            </w: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学分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915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公共 必修课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马院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中国特色社会主义理论与实践研究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36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9学分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马院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自然辩证法概论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18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09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人文学院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研究生英语（一）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28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09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人文学院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研究生英语（二）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28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09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人文学院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硕士生英语口语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18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09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17"/>
                <w:sz w:val="28"/>
                <w:szCs w:val="28"/>
              </w:rPr>
              <w:t>学位点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6"/>
                <w:sz w:val="28"/>
                <w:szCs w:val="28"/>
              </w:rPr>
              <w:t>学术道德与学术规范专题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18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09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pacing w:val="-17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17"/>
                <w:sz w:val="28"/>
                <w:szCs w:val="28"/>
              </w:rPr>
              <w:t>学位点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学术论文写作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18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09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9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专业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必修课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pacing w:val="-17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17"/>
                <w:sz w:val="28"/>
                <w:szCs w:val="28"/>
              </w:rPr>
              <w:t>学位点</w:t>
            </w:r>
          </w:p>
        </w:tc>
        <w:tc>
          <w:tcPr>
            <w:tcW w:w="4590" w:type="dxa"/>
            <w:gridSpan w:val="3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数学类课程和专业类课程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（按一级学科或研究方向设置）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8学分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915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选修课</w:t>
            </w: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pacing w:val="-17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17"/>
                <w:sz w:val="28"/>
                <w:szCs w:val="28"/>
              </w:rPr>
              <w:t>学位点</w:t>
            </w:r>
          </w:p>
        </w:tc>
        <w:tc>
          <w:tcPr>
            <w:tcW w:w="45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与研究方向有关的专业选修课程若干门</w:t>
            </w: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选修</w:t>
            </w: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10学分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人文学院</w:t>
            </w:r>
          </w:p>
        </w:tc>
        <w:tc>
          <w:tcPr>
            <w:tcW w:w="2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人文素养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18</w:t>
            </w:r>
          </w:p>
        </w:tc>
        <w:tc>
          <w:tcPr>
            <w:tcW w:w="8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选修</w:t>
            </w:r>
          </w:p>
        </w:tc>
        <w:tc>
          <w:tcPr>
            <w:tcW w:w="109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</w:trPr>
        <w:tc>
          <w:tcPr>
            <w:tcW w:w="91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设计学院人文学院</w:t>
            </w:r>
          </w:p>
        </w:tc>
        <w:tc>
          <w:tcPr>
            <w:tcW w:w="2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美学类课程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（设计美学/生活美学/走进林纾/音乐欣赏/形体舞蹈等）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18</w:t>
            </w:r>
          </w:p>
        </w:tc>
        <w:tc>
          <w:tcPr>
            <w:tcW w:w="8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可任选</w:t>
            </w:r>
          </w:p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一门</w:t>
            </w: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91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体育部</w:t>
            </w:r>
          </w:p>
        </w:tc>
        <w:tc>
          <w:tcPr>
            <w:tcW w:w="2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体育类课程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（篮球/网球/羽毛球/瑜伽）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18</w:t>
            </w:r>
          </w:p>
        </w:tc>
        <w:tc>
          <w:tcPr>
            <w:tcW w:w="8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可任选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一门</w:t>
            </w: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9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学术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活动</w:t>
            </w: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pacing w:val="-17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17"/>
                <w:sz w:val="28"/>
                <w:szCs w:val="28"/>
              </w:rPr>
              <w:t>学位点</w:t>
            </w:r>
          </w:p>
        </w:tc>
        <w:tc>
          <w:tcPr>
            <w:tcW w:w="289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研究生阶段听取学术报告不少于10次，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pacing w:val="-6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每次完成2000字以上心得体会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2学分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91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实践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环节</w:t>
            </w: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pacing w:val="-17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17"/>
                <w:sz w:val="28"/>
                <w:szCs w:val="28"/>
              </w:rPr>
              <w:t>学位点</w:t>
            </w:r>
          </w:p>
        </w:tc>
        <w:tc>
          <w:tcPr>
            <w:tcW w:w="289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实践项目任意一项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3学分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9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学术规范教育</w:t>
            </w: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pacing w:val="-17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17"/>
                <w:sz w:val="28"/>
                <w:szCs w:val="28"/>
              </w:rPr>
              <w:t>学位点</w:t>
            </w:r>
          </w:p>
        </w:tc>
        <w:tc>
          <w:tcPr>
            <w:tcW w:w="28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《高等学校科学技术学术规范指南》学习，学术规范、学术道德和学术诚信教育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融入研究生教育全过程</w:t>
            </w: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不计学分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17"/>
                <w:sz w:val="28"/>
                <w:szCs w:val="28"/>
              </w:rPr>
              <w:t>总学分要求</w:t>
            </w:r>
          </w:p>
        </w:tc>
        <w:tc>
          <w:tcPr>
            <w:tcW w:w="7710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32学分</w:t>
            </w:r>
          </w:p>
        </w:tc>
      </w:tr>
    </w:tbl>
    <w:p>
      <w:pPr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</w:p>
    <w:p/>
    <w:p>
      <w:pPr>
        <w:adjustRightInd w:val="0"/>
        <w:snapToGrid w:val="0"/>
        <w:spacing w:line="640" w:lineRule="atLeast"/>
        <w:rPr>
          <w:rFonts w:hint="eastAsia" w:ascii="仿宋_GB2312" w:hAnsi="仿宋_GB2312" w:eastAsia="仿宋_GB2312"/>
          <w:sz w:val="30"/>
          <w:szCs w:val="30"/>
        </w:rPr>
      </w:pPr>
    </w:p>
    <w:p>
      <w:pPr>
        <w:adjustRightInd w:val="0"/>
        <w:snapToGrid w:val="0"/>
        <w:spacing w:line="640" w:lineRule="atLeast"/>
        <w:rPr>
          <w:rFonts w:hint="eastAsia" w:ascii="仿宋_GB2312" w:hAnsi="仿宋_GB2312" w:eastAsia="仿宋_GB2312"/>
          <w:sz w:val="30"/>
          <w:szCs w:val="3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9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33E78"/>
    <w:multiLevelType w:val="multilevel"/>
    <w:tmpl w:val="0F433E78"/>
    <w:lvl w:ilvl="0" w:tentative="0">
      <w:start w:val="1"/>
      <w:numFmt w:val="chineseCounting"/>
      <w:suff w:val="nothing"/>
      <w:lvlText w:val="%1、"/>
      <w:lvlJc w:val="left"/>
      <w:pPr>
        <w:ind w:left="28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4856F0D"/>
    <w:multiLevelType w:val="multilevel"/>
    <w:tmpl w:val="14856F0D"/>
    <w:lvl w:ilvl="0" w:tentative="0">
      <w:start w:val="6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F693712"/>
    <w:multiLevelType w:val="multilevel"/>
    <w:tmpl w:val="4F693712"/>
    <w:lvl w:ilvl="0" w:tentative="0">
      <w:start w:val="5"/>
      <w:numFmt w:val="decimal"/>
      <w:suff w:val="nothing"/>
      <w:lvlText w:val="（%1）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ljMTk3ZWM5NzE0NTFhODg0NGQ3YTg0NjhhOGU3NWIifQ=="/>
  </w:docVars>
  <w:rsids>
    <w:rsidRoot w:val="00E4106D"/>
    <w:rsid w:val="00334698"/>
    <w:rsid w:val="003E7F57"/>
    <w:rsid w:val="00851F3E"/>
    <w:rsid w:val="00955AF1"/>
    <w:rsid w:val="00E4106D"/>
    <w:rsid w:val="4F002028"/>
    <w:rsid w:val="5386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nhideWhenUsed/>
    <w:uiPriority w:val="99"/>
  </w:style>
  <w:style w:type="character" w:customStyle="1" w:styleId="7">
    <w:name w:val="页眉 Char"/>
    <w:basedOn w:val="5"/>
    <w:link w:val="3"/>
    <w:uiPriority w:val="0"/>
    <w:rPr>
      <w:sz w:val="18"/>
      <w:szCs w:val="18"/>
    </w:rPr>
  </w:style>
  <w:style w:type="character" w:customStyle="1" w:styleId="8">
    <w:name w:val="页脚 Char"/>
    <w:basedOn w:val="5"/>
    <w:link w:val="2"/>
    <w:uiPriority w:val="0"/>
    <w:rPr>
      <w:sz w:val="18"/>
      <w:szCs w:val="18"/>
    </w:rPr>
  </w:style>
  <w:style w:type="paragraph" w:customStyle="1" w:styleId="9">
    <w:name w:val="列出段落1"/>
    <w:basedOn w:val="1"/>
    <w:uiPriority w:val="0"/>
    <w:pPr>
      <w:ind w:firstLine="420" w:firstLineChars="200"/>
    </w:pPr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10</Pages>
  <Words>542</Words>
  <Characters>3091</Characters>
  <Lines>25</Lines>
  <Paragraphs>7</Paragraphs>
  <TotalTime>36</TotalTime>
  <ScaleCrop>false</ScaleCrop>
  <LinksUpToDate>false</LinksUpToDate>
  <CharactersWithSpaces>3626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2023-07-19T08:35:00Z</dcterms:created>
  <dc:creator>杨冬丽(19842004)</dc:creator>
  <cp:lastModifiedBy>yjscc</cp:lastModifiedBy>
  <dcterms:modified xsi:type="dcterms:W3CDTF">2023-09-06T06:15:59Z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C71692377595440CA07EE64B2890697B_12</vt:lpwstr>
  </property>
</Properties>
</file>