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pacing w:val="-6"/>
          <w:sz w:val="36"/>
          <w:szCs w:val="36"/>
          <w:lang w:eastAsia="zh-CN"/>
        </w:rPr>
        <w:t>福建理工大学</w:t>
      </w:r>
      <w:r>
        <w:rPr>
          <w:rFonts w:hint="eastAsia" w:ascii="宋体" w:hAnsi="宋体" w:eastAsia="宋体" w:cs="宋体"/>
          <w:b/>
          <w:bCs w:val="0"/>
          <w:spacing w:val="-6"/>
          <w:sz w:val="36"/>
          <w:szCs w:val="36"/>
        </w:rPr>
        <w:t>硕士研究生导师资格认定办法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文件编号"/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福工大研工〔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17号</w:t>
      </w:r>
      <w:bookmarkStart w:id="1" w:name="_GoBack"/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第一章  总 则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为</w:t>
      </w:r>
      <w:r>
        <w:rPr>
          <w:rFonts w:hint="eastAsia" w:ascii="仿宋" w:hAnsi="仿宋" w:eastAsia="仿宋"/>
          <w:spacing w:val="6"/>
          <w:sz w:val="32"/>
          <w:szCs w:val="32"/>
        </w:rPr>
        <w:t>深入推进我校一流应用型大学建设，培养一支高</w:t>
      </w:r>
      <w:r>
        <w:rPr>
          <w:rFonts w:hint="eastAsia" w:ascii="仿宋" w:hAnsi="仿宋" w:eastAsia="仿宋"/>
          <w:sz w:val="32"/>
          <w:szCs w:val="32"/>
        </w:rPr>
        <w:t>水平硕士研究生导师队伍，更好地落实立德树人根本任务、服务一流学科建设，根据教育部、国务院学位办、国家发展和改革委员会等相关文件精神，结合我校实际情况，制定本办法。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第二条 </w:t>
      </w:r>
      <w:r>
        <w:rPr>
          <w:rFonts w:hint="eastAsia" w:ascii="仿宋" w:hAnsi="仿宋" w:eastAsia="仿宋"/>
          <w:sz w:val="32"/>
          <w:szCs w:val="32"/>
        </w:rPr>
        <w:t>本办法包括硕士研究生导师任职资格认定和招生资格认定。任职资格认定任期三年，招生资格认定实行年审制。</w:t>
      </w: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第二章  导师岗位职责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第三条 </w:t>
      </w:r>
      <w:r>
        <w:rPr>
          <w:rFonts w:hint="eastAsia" w:ascii="仿宋" w:hAnsi="仿宋" w:eastAsia="仿宋"/>
          <w:sz w:val="32"/>
          <w:szCs w:val="32"/>
        </w:rPr>
        <w:t>全面贯彻党的教育方针，落实立德树人根本任务，严格执行国家教育政策，热爱研究生教育事业。</w:t>
      </w:r>
    </w:p>
    <w:p>
      <w:pPr>
        <w:widowControl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 xml:space="preserve"> 坚</w:t>
      </w:r>
      <w:r>
        <w:rPr>
          <w:rFonts w:hint="eastAsia" w:ascii="仿宋" w:hAnsi="仿宋" w:eastAsia="仿宋"/>
          <w:spacing w:val="11"/>
          <w:sz w:val="32"/>
          <w:szCs w:val="32"/>
        </w:rPr>
        <w:t>持以习近平新时代中国特色社会主义思想为指</w:t>
      </w:r>
      <w:r>
        <w:rPr>
          <w:rFonts w:hint="eastAsia" w:ascii="仿宋" w:hAnsi="仿宋" w:eastAsia="仿宋"/>
          <w:sz w:val="32"/>
          <w:szCs w:val="32"/>
        </w:rPr>
        <w:t>导，强化对研究生的思想政治教育，引导研究生树立正确的世界观、人生观、价值观。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第五条 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pacing w:val="6"/>
          <w:sz w:val="32"/>
          <w:szCs w:val="32"/>
        </w:rPr>
        <w:t>觉提高自身指导水平和学术造诣，加强研究生学</w:t>
      </w:r>
      <w:r>
        <w:rPr>
          <w:rFonts w:hint="eastAsia" w:ascii="仿宋" w:hAnsi="仿宋" w:eastAsia="仿宋"/>
          <w:sz w:val="32"/>
          <w:szCs w:val="32"/>
        </w:rPr>
        <w:t>术道德和学术规范教育，坚决杜绝学术不端行为。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第六条 </w:t>
      </w:r>
      <w:r>
        <w:rPr>
          <w:rFonts w:hint="eastAsia" w:ascii="仿宋" w:hAnsi="仿宋" w:eastAsia="仿宋"/>
          <w:sz w:val="32"/>
          <w:szCs w:val="32"/>
        </w:rPr>
        <w:t>严格执行国家及学校有关研究生培养的各项规章制度；认真落实学校和学位点关于研究生教育工作的安排。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参</w:t>
      </w:r>
      <w:r>
        <w:rPr>
          <w:rFonts w:hint="eastAsia" w:ascii="仿宋" w:hAnsi="仿宋" w:eastAsia="仿宋"/>
          <w:spacing w:val="11"/>
          <w:sz w:val="32"/>
          <w:szCs w:val="32"/>
        </w:rPr>
        <w:t>与制定招生专业目录，承担研究生入学考试命</w:t>
      </w:r>
      <w:r>
        <w:rPr>
          <w:rFonts w:hint="eastAsia" w:ascii="仿宋" w:hAnsi="仿宋" w:eastAsia="仿宋"/>
          <w:sz w:val="32"/>
          <w:szCs w:val="32"/>
        </w:rPr>
        <w:t>题、评卷和复试等工作。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参</w:t>
      </w:r>
      <w:r>
        <w:rPr>
          <w:rFonts w:hint="eastAsia" w:ascii="仿宋" w:hAnsi="仿宋" w:eastAsia="仿宋"/>
          <w:spacing w:val="6"/>
          <w:sz w:val="32"/>
          <w:szCs w:val="32"/>
        </w:rPr>
        <w:t>与制定本学位点研究生培养方案，制定研究生个人培养计划；承担研究生课程教学，制定教学大纲、授课计划等；指导研究生课程学习、科学研究、学术交流和实践活</w:t>
      </w:r>
      <w:r>
        <w:rPr>
          <w:rFonts w:hint="eastAsia" w:ascii="仿宋" w:hAnsi="仿宋" w:eastAsia="仿宋"/>
          <w:sz w:val="32"/>
          <w:szCs w:val="32"/>
        </w:rPr>
        <w:t>动；参与研究生教育教学改革和教学资源建设等。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第九条 </w:t>
      </w:r>
      <w:r>
        <w:rPr>
          <w:rFonts w:hint="eastAsia" w:ascii="仿宋" w:hAnsi="仿宋" w:eastAsia="仿宋"/>
          <w:sz w:val="32"/>
          <w:szCs w:val="32"/>
        </w:rPr>
        <w:t>负责对学位论文选题开题、中期考核、答辩等环节进行具体指导。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/>
          <w:sz w:val="32"/>
          <w:szCs w:val="32"/>
        </w:rPr>
        <w:t xml:space="preserve"> 关</w:t>
      </w:r>
      <w:r>
        <w:rPr>
          <w:rFonts w:hint="eastAsia" w:ascii="仿宋" w:hAnsi="仿宋" w:eastAsia="仿宋"/>
          <w:spacing w:val="-6"/>
          <w:sz w:val="32"/>
          <w:szCs w:val="32"/>
        </w:rPr>
        <w:t>注研究生身心健康，做好研究生的就业指导工</w:t>
      </w:r>
      <w:r>
        <w:rPr>
          <w:rFonts w:hint="eastAsia" w:ascii="仿宋" w:hAnsi="仿宋" w:eastAsia="仿宋"/>
          <w:sz w:val="32"/>
          <w:szCs w:val="32"/>
        </w:rPr>
        <w:t>作。</w:t>
      </w: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第三章  任职资格基本条件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第十一条 </w:t>
      </w:r>
      <w:r>
        <w:rPr>
          <w:rFonts w:hint="eastAsia" w:ascii="仿宋" w:hAnsi="仿宋" w:eastAsia="仿宋"/>
          <w:sz w:val="32"/>
          <w:szCs w:val="32"/>
        </w:rPr>
        <w:t>申</w:t>
      </w:r>
      <w:r>
        <w:rPr>
          <w:rFonts w:hint="eastAsia" w:ascii="仿宋" w:hAnsi="仿宋" w:eastAsia="仿宋"/>
          <w:spacing w:val="6"/>
          <w:sz w:val="32"/>
          <w:szCs w:val="32"/>
        </w:rPr>
        <w:t>请人具有良好的师德师风和业务素质，能够履</w:t>
      </w:r>
      <w:r>
        <w:rPr>
          <w:rFonts w:hint="eastAsia" w:ascii="仿宋" w:hAnsi="仿宋" w:eastAsia="仿宋"/>
          <w:sz w:val="32"/>
          <w:szCs w:val="32"/>
        </w:rPr>
        <w:t>行硕士研究生导师岗位职责。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color w:val="0000FF"/>
          <w:spacing w:val="-4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第十二条 </w:t>
      </w:r>
      <w:r>
        <w:rPr>
          <w:rFonts w:hint="eastAsia" w:ascii="仿宋" w:hAnsi="仿宋" w:eastAsia="仿宋"/>
          <w:sz w:val="32"/>
          <w:szCs w:val="32"/>
        </w:rPr>
        <w:t>正</w:t>
      </w:r>
      <w:r>
        <w:rPr>
          <w:rFonts w:hint="eastAsia" w:ascii="仿宋" w:hAnsi="仿宋" w:eastAsia="仿宋"/>
          <w:spacing w:val="-6"/>
          <w:sz w:val="32"/>
          <w:szCs w:val="32"/>
        </w:rPr>
        <w:t>高职称的</w:t>
      </w:r>
      <w:r>
        <w:rPr>
          <w:rFonts w:hint="eastAsia" w:ascii="仿宋" w:hAnsi="仿宋" w:eastAsia="仿宋"/>
          <w:bCs/>
          <w:spacing w:val="-6"/>
          <w:sz w:val="32"/>
          <w:szCs w:val="32"/>
        </w:rPr>
        <w:t>申请人</w:t>
      </w:r>
      <w:r>
        <w:rPr>
          <w:rFonts w:hint="eastAsia" w:ascii="仿宋" w:hAnsi="仿宋" w:eastAsia="仿宋"/>
          <w:spacing w:val="-6"/>
          <w:sz w:val="32"/>
          <w:szCs w:val="32"/>
        </w:rPr>
        <w:t>年龄一般不超过60周岁，其</w:t>
      </w:r>
      <w:r>
        <w:rPr>
          <w:rFonts w:hint="eastAsia" w:ascii="仿宋" w:hAnsi="仿宋" w:eastAsia="仿宋"/>
          <w:sz w:val="32"/>
          <w:szCs w:val="32"/>
        </w:rPr>
        <w:t>余一般不超过57周岁（至申请当年8月31日）；</w:t>
      </w:r>
      <w:r>
        <w:rPr>
          <w:rFonts w:hint="eastAsia" w:ascii="仿宋" w:hAnsi="仿宋" w:eastAsia="仿宋"/>
          <w:spacing w:val="-4"/>
          <w:sz w:val="32"/>
          <w:szCs w:val="32"/>
        </w:rPr>
        <w:t>60周岁以上我校全职聘用的专家，申请年龄可放宽至67周岁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申请人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属于</w:t>
      </w:r>
      <w:r>
        <w:rPr>
          <w:rFonts w:hint="eastAsia" w:ascii="仿宋" w:hAnsi="仿宋" w:eastAsia="仿宋"/>
          <w:spacing w:val="-4"/>
          <w:sz w:val="32"/>
          <w:szCs w:val="32"/>
          <w:lang w:val="en-US" w:eastAsia="zh-CN"/>
        </w:rPr>
        <w:t>院士、国家杰青等国家级卓越人才的，不作年龄要求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，须由学位点推荐报研究生处审批。</w:t>
      </w:r>
      <w:r>
        <w:rPr>
          <w:rFonts w:hint="eastAsia" w:ascii="仿宋" w:hAnsi="仿宋" w:eastAsia="仿宋"/>
          <w:spacing w:val="-4"/>
          <w:sz w:val="32"/>
          <w:szCs w:val="32"/>
        </w:rPr>
        <w:t>申请人</w:t>
      </w:r>
      <w:r>
        <w:rPr>
          <w:rFonts w:hint="eastAsia" w:ascii="仿宋" w:hAnsi="仿宋" w:eastAsia="仿宋"/>
          <w:spacing w:val="6"/>
          <w:sz w:val="32"/>
          <w:szCs w:val="32"/>
        </w:rPr>
        <w:t>应能</w:t>
      </w:r>
      <w:r>
        <w:rPr>
          <w:rFonts w:hint="eastAsia" w:ascii="仿宋" w:hAnsi="仿宋" w:eastAsia="仿宋"/>
          <w:spacing w:val="-4"/>
          <w:sz w:val="32"/>
          <w:szCs w:val="32"/>
        </w:rPr>
        <w:t>完整培养一届研究生。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第十三条 </w:t>
      </w:r>
      <w:r>
        <w:rPr>
          <w:rFonts w:hint="eastAsia" w:ascii="仿宋" w:hAnsi="仿宋" w:eastAsia="仿宋"/>
          <w:sz w:val="32"/>
          <w:szCs w:val="32"/>
        </w:rPr>
        <w:t>满</w:t>
      </w:r>
      <w:r>
        <w:rPr>
          <w:rFonts w:hint="eastAsia" w:ascii="仿宋" w:hAnsi="仿宋" w:eastAsia="仿宋"/>
          <w:spacing w:val="-11"/>
          <w:sz w:val="32"/>
          <w:szCs w:val="32"/>
        </w:rPr>
        <w:t>足下列条件之一的教师经学位点审核，由研究生</w:t>
      </w:r>
      <w:r>
        <w:rPr>
          <w:rFonts w:hint="eastAsia" w:ascii="仿宋" w:hAnsi="仿宋" w:eastAsia="仿宋"/>
          <w:sz w:val="32"/>
          <w:szCs w:val="32"/>
        </w:rPr>
        <w:t>处直接认定硕士研究生导师任职资格：</w:t>
      </w:r>
    </w:p>
    <w:p>
      <w:pPr>
        <w:pStyle w:val="9"/>
        <w:spacing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1.近3年签约的“人才特区”直/预聘教授、副教授，或近2年签约的科研类引进生；</w:t>
      </w:r>
    </w:p>
    <w:p>
      <w:pPr>
        <w:pStyle w:val="9"/>
        <w:spacing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2.近3年获得省级及以上优秀博士学位论文的博士；</w:t>
      </w:r>
    </w:p>
    <w:p>
      <w:pPr>
        <w:pStyle w:val="9"/>
        <w:spacing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3.近3年晋升教授或副教授的教师和近3年晋升自然科学/社会科学研究员或副研究员的科研人员；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4.在研国家级科研项目负责人；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5.博士生导师；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6.近3年指导本校研究生获省级优秀学位论文的导师。</w:t>
      </w:r>
    </w:p>
    <w:p>
      <w:pPr>
        <w:spacing w:line="600" w:lineRule="exact"/>
        <w:ind w:firstLine="600"/>
        <w:rPr>
          <w:rFonts w:hint="eastAsia" w:ascii="仿宋" w:hAnsi="仿宋" w:eastAsia="仿宋"/>
          <w:spacing w:val="6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第十四条 </w:t>
      </w:r>
      <w:r>
        <w:rPr>
          <w:rFonts w:hint="eastAsia" w:ascii="仿宋" w:hAnsi="仿宋" w:eastAsia="仿宋"/>
          <w:spacing w:val="6"/>
          <w:sz w:val="32"/>
          <w:szCs w:val="32"/>
        </w:rPr>
        <w:t>学术型</w:t>
      </w:r>
      <w:r>
        <w:rPr>
          <w:rFonts w:hint="eastAsia" w:ascii="仿宋" w:hAnsi="仿宋" w:eastAsia="仿宋"/>
          <w:sz w:val="32"/>
          <w:szCs w:val="32"/>
        </w:rPr>
        <w:t>硕士研究生</w:t>
      </w:r>
      <w:r>
        <w:rPr>
          <w:rFonts w:hint="eastAsia" w:ascii="仿宋" w:hAnsi="仿宋" w:eastAsia="仿宋"/>
          <w:spacing w:val="6"/>
          <w:sz w:val="32"/>
          <w:szCs w:val="32"/>
        </w:rPr>
        <w:t>导师申请人应具有副教授、自然科学/社会科学</w:t>
      </w:r>
      <w:r>
        <w:rPr>
          <w:rFonts w:hint="eastAsia" w:ascii="仿宋" w:hAnsi="仿宋" w:eastAsia="仿宋"/>
          <w:sz w:val="32"/>
          <w:szCs w:val="32"/>
        </w:rPr>
        <w:t>副研究员及以上职称；或为具有博士学位的讲师、自然科学/社会科学助理研究员。具有稳定的研究方</w:t>
      </w:r>
      <w:r>
        <w:rPr>
          <w:rFonts w:hint="eastAsia" w:ascii="仿宋" w:hAnsi="仿宋" w:eastAsia="仿宋"/>
          <w:spacing w:val="6"/>
          <w:sz w:val="32"/>
          <w:szCs w:val="32"/>
        </w:rPr>
        <w:t>向，并满足以下科研项目和学术成果要求：</w:t>
      </w:r>
    </w:p>
    <w:p>
      <w:pPr>
        <w:spacing w:line="600" w:lineRule="exact"/>
        <w:ind w:firstLine="600"/>
        <w:rPr>
          <w:rFonts w:hint="eastAsia" w:ascii="仿宋" w:hAnsi="仿宋" w:eastAsia="仿宋"/>
          <w:spacing w:val="6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hint="eastAsia" w:ascii="仿宋" w:hAnsi="仿宋" w:eastAsia="仿宋"/>
          <w:spacing w:val="6"/>
          <w:sz w:val="32"/>
          <w:szCs w:val="32"/>
        </w:rPr>
        <w:t>近5年主持市厅级及以上项目；或理工类</w:t>
      </w:r>
      <w:r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hint="eastAsia" w:ascii="仿宋" w:hAnsi="仿宋" w:eastAsia="仿宋"/>
          <w:spacing w:val="6"/>
          <w:sz w:val="32"/>
          <w:szCs w:val="32"/>
        </w:rPr>
        <w:t>近</w:t>
      </w:r>
      <w:r>
        <w:rPr>
          <w:rFonts w:hint="eastAsia" w:ascii="仿宋" w:hAnsi="仿宋" w:eastAsia="仿宋"/>
          <w:sz w:val="32"/>
          <w:szCs w:val="32"/>
        </w:rPr>
        <w:t>5年主持的横向项目累计到校经费不低于10万元，非理工</w:t>
      </w:r>
      <w:r>
        <w:rPr>
          <w:rFonts w:hint="eastAsia" w:ascii="仿宋" w:hAnsi="仿宋" w:eastAsia="仿宋"/>
          <w:spacing w:val="6"/>
          <w:sz w:val="32"/>
          <w:szCs w:val="32"/>
        </w:rPr>
        <w:t>类</w:t>
      </w:r>
      <w:r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hint="eastAsia" w:ascii="仿宋" w:hAnsi="仿宋" w:eastAsia="仿宋"/>
          <w:spacing w:val="6"/>
          <w:sz w:val="32"/>
          <w:szCs w:val="32"/>
        </w:rPr>
        <w:t>近5年主持的横向项目累计到校经费不低于5万元。近3年引进或毕业的博士不作科研项目要求。</w:t>
      </w:r>
    </w:p>
    <w:p>
      <w:pPr>
        <w:spacing w:line="600" w:lineRule="exact"/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pacing w:val="6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近5年学术成果达到以下条件之一：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（1）理工类（不含城乡规划学）申请人在“三高论文”期刊发表学术论文2篇；非理工类和城乡规划学申请人在“三高论文”期刊发表学术论文1篇或在核心及以上期刊发表学术论文2篇</w:t>
      </w:r>
      <w:r>
        <w:rPr>
          <w:rFonts w:hint="eastAsia" w:ascii="仿宋" w:hAnsi="仿宋" w:eastAsia="仿宋"/>
          <w:spacing w:val="-6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（2）获得省部级及以上科技成果、社科成果、艺术与设计成果奖励。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（3）理</w:t>
      </w:r>
      <w:r>
        <w:rPr>
          <w:rFonts w:hint="eastAsia" w:ascii="仿宋" w:hAnsi="仿宋" w:eastAsia="仿宋"/>
          <w:spacing w:val="-6"/>
          <w:sz w:val="32"/>
          <w:szCs w:val="32"/>
        </w:rPr>
        <w:t>工类（不含城乡规划学）申请人作为第一发明人获得</w:t>
      </w:r>
      <w:r>
        <w:rPr>
          <w:rFonts w:hint="eastAsia" w:ascii="仿宋" w:hAnsi="仿宋" w:eastAsia="仿宋"/>
          <w:sz w:val="32"/>
          <w:szCs w:val="32"/>
        </w:rPr>
        <w:t>授权发明专利1件，且在“三高论文”期刊发表学术论文1篇；非理工类</w:t>
      </w:r>
      <w:r>
        <w:rPr>
          <w:rFonts w:hint="eastAsia" w:ascii="仿宋" w:hAnsi="仿宋" w:eastAsia="仿宋"/>
          <w:spacing w:val="6"/>
          <w:sz w:val="32"/>
          <w:szCs w:val="32"/>
        </w:rPr>
        <w:t>和城乡规划学申请人</w:t>
      </w:r>
      <w:r>
        <w:rPr>
          <w:rFonts w:hint="eastAsia" w:ascii="仿宋" w:hAnsi="仿宋" w:eastAsia="仿宋"/>
          <w:sz w:val="32"/>
          <w:szCs w:val="32"/>
        </w:rPr>
        <w:t>作为第一发明人获得授权发明专利1件或实用新型专利2件，且</w:t>
      </w:r>
      <w:r>
        <w:rPr>
          <w:rFonts w:hint="eastAsia" w:ascii="仿宋" w:hAnsi="仿宋" w:eastAsia="仿宋"/>
          <w:spacing w:val="6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核心及以上期刊发表学术论文1篇。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（4）以</w:t>
      </w:r>
      <w:r>
        <w:rPr>
          <w:rFonts w:hint="eastAsia" w:ascii="仿宋" w:hAnsi="仿宋" w:eastAsia="仿宋"/>
          <w:spacing w:val="-6"/>
          <w:sz w:val="32"/>
          <w:szCs w:val="32"/>
        </w:rPr>
        <w:t>独著或第一作者署名出版学术专著（含研究生教材）。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（5）理工类（不含</w:t>
      </w:r>
      <w:r>
        <w:rPr>
          <w:rFonts w:hint="eastAsia" w:ascii="仿宋" w:hAnsi="仿宋" w:eastAsia="仿宋"/>
          <w:spacing w:val="6"/>
          <w:sz w:val="32"/>
          <w:szCs w:val="32"/>
        </w:rPr>
        <w:t>城乡规划学</w:t>
      </w:r>
      <w:r>
        <w:rPr>
          <w:rFonts w:hint="eastAsia" w:ascii="仿宋" w:hAnsi="仿宋" w:eastAsia="仿宋"/>
          <w:sz w:val="32"/>
          <w:szCs w:val="32"/>
        </w:rPr>
        <w:t>）申请人主持横向项目累计到校经费</w:t>
      </w:r>
      <w:r>
        <w:rPr>
          <w:rFonts w:hint="eastAsia" w:ascii="仿宋" w:hAnsi="仿宋" w:eastAsia="仿宋"/>
          <w:spacing w:val="6"/>
          <w:sz w:val="32"/>
          <w:szCs w:val="32"/>
        </w:rPr>
        <w:t>不低于15万元</w:t>
      </w:r>
      <w:r>
        <w:rPr>
          <w:rFonts w:hint="eastAsia" w:ascii="仿宋" w:hAnsi="仿宋" w:eastAsia="仿宋"/>
          <w:sz w:val="32"/>
          <w:szCs w:val="32"/>
        </w:rPr>
        <w:t>，且在“三高论文”期刊发表学术论文1篇或</w:t>
      </w:r>
      <w:r>
        <w:rPr>
          <w:rFonts w:hint="eastAsia" w:ascii="仿宋" w:hAnsi="仿宋" w:eastAsia="仿宋"/>
          <w:spacing w:val="6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核心及以上期刊发表学术论文2篇；城乡规划学申请人主</w:t>
      </w:r>
      <w:r>
        <w:rPr>
          <w:rFonts w:hint="eastAsia" w:ascii="仿宋" w:hAnsi="仿宋" w:eastAsia="仿宋"/>
          <w:spacing w:val="6"/>
          <w:sz w:val="32"/>
          <w:szCs w:val="32"/>
        </w:rPr>
        <w:t>持横向项目累计到校经费不低于15万元，且在核心及以上期</w:t>
      </w:r>
      <w:r>
        <w:rPr>
          <w:rFonts w:hint="eastAsia" w:ascii="仿宋" w:hAnsi="仿宋" w:eastAsia="仿宋"/>
          <w:sz w:val="32"/>
          <w:szCs w:val="32"/>
        </w:rPr>
        <w:t>刊发表学术论文1篇；非理工类</w:t>
      </w:r>
      <w:r>
        <w:rPr>
          <w:rFonts w:hint="eastAsia" w:ascii="仿宋" w:hAnsi="仿宋" w:eastAsia="仿宋"/>
          <w:spacing w:val="6"/>
          <w:sz w:val="32"/>
          <w:szCs w:val="32"/>
        </w:rPr>
        <w:t>申请人</w:t>
      </w:r>
      <w:r>
        <w:rPr>
          <w:rFonts w:hint="eastAsia" w:ascii="仿宋" w:hAnsi="仿宋" w:eastAsia="仿宋"/>
          <w:sz w:val="32"/>
          <w:szCs w:val="32"/>
        </w:rPr>
        <w:t>主持横向项目累计到校经费</w:t>
      </w:r>
      <w:r>
        <w:rPr>
          <w:rFonts w:hint="eastAsia" w:ascii="仿宋" w:hAnsi="仿宋" w:eastAsia="仿宋"/>
          <w:spacing w:val="6"/>
          <w:sz w:val="32"/>
          <w:szCs w:val="32"/>
        </w:rPr>
        <w:t>不低于8万元</w:t>
      </w:r>
      <w:r>
        <w:rPr>
          <w:rFonts w:hint="eastAsia" w:ascii="仿宋" w:hAnsi="仿宋" w:eastAsia="仿宋"/>
          <w:sz w:val="32"/>
          <w:szCs w:val="32"/>
        </w:rPr>
        <w:t>，且在核心及以上期刊发表学术论文1篇。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（6）学位点认定的其他重要成果。</w:t>
      </w:r>
    </w:p>
    <w:p>
      <w:pPr>
        <w:spacing w:line="600" w:lineRule="exact"/>
        <w:ind w:firstLine="600"/>
        <w:rPr>
          <w:rFonts w:hint="eastAsia" w:ascii="仿宋" w:hAnsi="仿宋" w:eastAsia="仿宋"/>
          <w:spacing w:val="6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/>
          <w:sz w:val="32"/>
          <w:szCs w:val="32"/>
        </w:rPr>
        <w:t xml:space="preserve"> 专业学位硕士研究生导师申请人应具有</w:t>
      </w:r>
      <w:r>
        <w:rPr>
          <w:rFonts w:hint="eastAsia" w:ascii="仿宋" w:hAnsi="仿宋" w:eastAsia="仿宋"/>
          <w:spacing w:val="6"/>
          <w:sz w:val="32"/>
          <w:szCs w:val="32"/>
        </w:rPr>
        <w:t>副教授、</w:t>
      </w:r>
      <w:r>
        <w:rPr>
          <w:rFonts w:hint="eastAsia" w:ascii="仿宋" w:hAnsi="仿宋" w:eastAsia="仿宋"/>
          <w:sz w:val="32"/>
          <w:szCs w:val="32"/>
        </w:rPr>
        <w:t>高</w:t>
      </w:r>
      <w:r>
        <w:rPr>
          <w:rFonts w:hint="eastAsia" w:ascii="仿宋" w:hAnsi="仿宋" w:eastAsia="仿宋"/>
          <w:spacing w:val="6"/>
          <w:sz w:val="32"/>
          <w:szCs w:val="32"/>
        </w:rPr>
        <w:t>级工程师、自然科学/社会科学副研究员及以上职称；或为具</w:t>
      </w:r>
      <w:r>
        <w:rPr>
          <w:rFonts w:hint="eastAsia" w:ascii="仿宋" w:hAnsi="仿宋" w:eastAsia="仿宋"/>
          <w:sz w:val="32"/>
          <w:szCs w:val="32"/>
        </w:rPr>
        <w:t>有博士学位的讲师、工程师、自然科学/社会科学助理研究员。具有较强的科研能力和实践能力，并</w:t>
      </w:r>
      <w:r>
        <w:rPr>
          <w:rFonts w:hint="eastAsia" w:ascii="仿宋" w:hAnsi="仿宋" w:eastAsia="仿宋"/>
          <w:spacing w:val="6"/>
          <w:sz w:val="32"/>
          <w:szCs w:val="32"/>
        </w:rPr>
        <w:t>满足以下要求：</w:t>
      </w:r>
    </w:p>
    <w:p>
      <w:pPr>
        <w:spacing w:line="600" w:lineRule="exact"/>
        <w:ind w:firstLine="600"/>
        <w:rPr>
          <w:rFonts w:hint="eastAsia" w:ascii="仿宋" w:hAnsi="仿宋" w:eastAsia="仿宋"/>
          <w:spacing w:val="6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>1.申</w:t>
      </w:r>
      <w:r>
        <w:rPr>
          <w:rFonts w:hint="eastAsia" w:ascii="仿宋" w:hAnsi="仿宋" w:eastAsia="仿宋"/>
          <w:sz w:val="32"/>
          <w:szCs w:val="32"/>
        </w:rPr>
        <w:t>请人近5年主持省部级及以上科研项目的，或近5</w:t>
      </w:r>
      <w:r>
        <w:rPr>
          <w:rFonts w:hint="eastAsia" w:ascii="仿宋" w:hAnsi="仿宋" w:eastAsia="仿宋"/>
          <w:spacing w:val="6"/>
          <w:sz w:val="32"/>
          <w:szCs w:val="32"/>
        </w:rPr>
        <w:t>年主持的市厅级科研项目/横向项目单项到校经费理工类不低于10万元、非理工类不低于5万元的，不作学术成果要求。</w:t>
      </w:r>
    </w:p>
    <w:p>
      <w:pPr>
        <w:spacing w:line="600" w:lineRule="exact"/>
        <w:ind w:firstLine="600"/>
        <w:rPr>
          <w:rFonts w:hint="eastAsia" w:ascii="仿宋" w:hAnsi="仿宋" w:eastAsia="仿宋"/>
          <w:spacing w:val="6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>2.未达第1款要求的，应满足以下科研项目和学术成果要求：</w:t>
      </w:r>
    </w:p>
    <w:p>
      <w:pPr>
        <w:spacing w:line="600" w:lineRule="exact"/>
        <w:ind w:firstLine="600"/>
        <w:rPr>
          <w:rFonts w:hint="eastAsia" w:ascii="仿宋" w:hAnsi="仿宋" w:eastAsia="仿宋"/>
          <w:spacing w:val="6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>（1）申</w:t>
      </w:r>
      <w:r>
        <w:rPr>
          <w:rFonts w:hint="eastAsia" w:ascii="仿宋" w:hAnsi="仿宋" w:eastAsia="仿宋"/>
          <w:spacing w:val="-6"/>
          <w:sz w:val="32"/>
          <w:szCs w:val="32"/>
        </w:rPr>
        <w:t>请人近5年主持市厅级及以上项目；或理工类申</w:t>
      </w:r>
      <w:r>
        <w:rPr>
          <w:rFonts w:hint="eastAsia" w:ascii="仿宋" w:hAnsi="仿宋" w:eastAsia="仿宋"/>
          <w:spacing w:val="6"/>
          <w:sz w:val="32"/>
          <w:szCs w:val="32"/>
        </w:rPr>
        <w:t>请人近</w:t>
      </w:r>
      <w:r>
        <w:rPr>
          <w:rFonts w:hint="eastAsia" w:ascii="仿宋" w:hAnsi="仿宋" w:eastAsia="仿宋"/>
          <w:sz w:val="32"/>
          <w:szCs w:val="32"/>
        </w:rPr>
        <w:t>5年主持的横向项目累计到校经费不低于10万元，非理工</w:t>
      </w:r>
      <w:r>
        <w:rPr>
          <w:rFonts w:hint="eastAsia" w:ascii="仿宋" w:hAnsi="仿宋" w:eastAsia="仿宋"/>
          <w:spacing w:val="6"/>
          <w:sz w:val="32"/>
          <w:szCs w:val="32"/>
        </w:rPr>
        <w:t xml:space="preserve">类申请人近5年主持的横向项目累计到校经费不低于5万元。近3年引进或毕业的博士不作科研项目要求。     </w:t>
      </w:r>
    </w:p>
    <w:p>
      <w:pPr>
        <w:spacing w:line="600" w:lineRule="exact"/>
        <w:ind w:firstLine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6"/>
          <w:sz w:val="32"/>
          <w:szCs w:val="32"/>
        </w:rPr>
        <w:t>（2）</w:t>
      </w:r>
      <w:r>
        <w:rPr>
          <w:rFonts w:hint="eastAsia" w:ascii="仿宋" w:hAnsi="仿宋" w:eastAsia="仿宋"/>
          <w:sz w:val="32"/>
          <w:szCs w:val="32"/>
        </w:rPr>
        <w:t>近5年学术成果达到以下条件之一：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①理工类申请人在“三高论文”期刊发表学术论文1篇或在核心及以上期刊发表学术论文2篇；非理工类申请人</w:t>
      </w:r>
      <w:r>
        <w:rPr>
          <w:rFonts w:hint="eastAsia" w:ascii="仿宋" w:hAnsi="仿宋" w:eastAsia="仿宋"/>
          <w:spacing w:val="6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核心及以上期刊发表学术论文1篇。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②获得省部级及以上科技成果、社科成果、艺术设计成果、教学成果奖励。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③理工类申请人作为第一发明人获得授权发明专利1件或实用新型专利2件，且在核心及以上期刊发表学术论文1篇；非理工类申请人作为第一发明人获得授权发明专利1件或实用新型专利2件。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④出版学术专著（排名前3，含研究生教材）。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⑤所负责的咨询报告被省级部门采纳。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⑥学位点认定的其他重要成果。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第十六条 </w:t>
      </w:r>
      <w:r>
        <w:rPr>
          <w:rFonts w:hint="eastAsia" w:ascii="仿宋" w:hAnsi="仿宋" w:eastAsia="仿宋"/>
          <w:sz w:val="32"/>
          <w:szCs w:val="32"/>
        </w:rPr>
        <w:t>任期三年内至少参加2次校级及以上研究生导师培训并获得相关证明。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第十七条 </w:t>
      </w:r>
      <w:r>
        <w:rPr>
          <w:rFonts w:hint="eastAsia" w:ascii="仿宋" w:hAnsi="仿宋" w:eastAsia="仿宋"/>
          <w:sz w:val="32"/>
          <w:szCs w:val="32"/>
        </w:rPr>
        <w:t>其</w:t>
      </w:r>
      <w:r>
        <w:rPr>
          <w:rFonts w:hint="eastAsia" w:ascii="仿宋" w:hAnsi="仿宋" w:eastAsia="仿宋"/>
          <w:spacing w:val="-6"/>
          <w:sz w:val="32"/>
          <w:szCs w:val="32"/>
        </w:rPr>
        <w:t>他高校教师及科研院所科研人员可申请在我</w:t>
      </w:r>
      <w:r>
        <w:rPr>
          <w:rFonts w:hint="eastAsia" w:ascii="仿宋" w:hAnsi="仿宋" w:eastAsia="仿宋"/>
          <w:sz w:val="32"/>
          <w:szCs w:val="32"/>
        </w:rPr>
        <w:t>校担任外聘硕导。任职资格条件原则上参照上述校内导师的要求，科</w:t>
      </w:r>
      <w:r>
        <w:rPr>
          <w:rFonts w:hint="eastAsia" w:ascii="仿宋" w:hAnsi="仿宋" w:eastAsia="仿宋"/>
          <w:spacing w:val="6"/>
          <w:sz w:val="32"/>
          <w:szCs w:val="32"/>
        </w:rPr>
        <w:t>研经费无需到校，其他要求按照《</w:t>
      </w:r>
      <w:r>
        <w:rPr>
          <w:rFonts w:hint="eastAsia" w:ascii="仿宋" w:hAnsi="仿宋" w:eastAsia="仿宋"/>
          <w:spacing w:val="6"/>
          <w:sz w:val="32"/>
          <w:szCs w:val="32"/>
          <w:lang w:eastAsia="zh-CN"/>
        </w:rPr>
        <w:t>福建理工大学</w:t>
      </w:r>
      <w:r>
        <w:rPr>
          <w:rFonts w:hint="eastAsia" w:ascii="仿宋" w:hAnsi="仿宋" w:eastAsia="仿宋"/>
          <w:spacing w:val="6"/>
          <w:sz w:val="32"/>
          <w:szCs w:val="32"/>
        </w:rPr>
        <w:t>外聘硕士研</w:t>
      </w:r>
      <w:r>
        <w:rPr>
          <w:rFonts w:hint="eastAsia" w:ascii="仿宋" w:hAnsi="仿宋" w:eastAsia="仿宋"/>
          <w:sz w:val="32"/>
          <w:szCs w:val="32"/>
        </w:rPr>
        <w:t>究生指导教师管理办法》当年适用文件执行。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第十八条</w:t>
      </w:r>
      <w:r>
        <w:rPr>
          <w:rFonts w:hint="eastAsia" w:ascii="仿宋" w:hAnsi="仿宋" w:eastAsia="仿宋"/>
          <w:sz w:val="32"/>
          <w:szCs w:val="32"/>
        </w:rPr>
        <w:t xml:space="preserve"> 教辅系列人员若承担国家级课题可参与研究生导师任职资格确认。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第十九条 </w:t>
      </w:r>
      <w:r>
        <w:rPr>
          <w:rFonts w:hint="eastAsia" w:ascii="仿宋" w:hAnsi="仿宋" w:eastAsia="仿宋"/>
          <w:sz w:val="32"/>
          <w:szCs w:val="32"/>
        </w:rPr>
        <w:t>原人事关系在我校，因组织原因调离且对学位点建</w:t>
      </w:r>
      <w:r>
        <w:rPr>
          <w:rFonts w:hint="eastAsia" w:ascii="仿宋" w:hAnsi="仿宋" w:eastAsia="仿宋"/>
          <w:spacing w:val="6"/>
          <w:sz w:val="32"/>
          <w:szCs w:val="32"/>
        </w:rPr>
        <w:t>设具有突出贡献的教授，可申请免评审确认校内导师任职资</w:t>
      </w:r>
      <w:r>
        <w:rPr>
          <w:rFonts w:hint="eastAsia" w:ascii="仿宋" w:hAnsi="仿宋" w:eastAsia="仿宋"/>
          <w:sz w:val="32"/>
          <w:szCs w:val="32"/>
        </w:rPr>
        <w:t>格，由学位点审核后提交研究生处认定。</w:t>
      </w: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  <w:highlight w:val="yellow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第四章  招生资格基本条件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第二十条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1"/>
          <w:sz w:val="32"/>
          <w:szCs w:val="32"/>
        </w:rPr>
        <w:t>当年具有导师任职资格的教师方可申请相应学</w:t>
      </w:r>
      <w:r>
        <w:rPr>
          <w:rFonts w:hint="eastAsia" w:ascii="仿宋" w:hAnsi="仿宋" w:eastAsia="仿宋"/>
          <w:sz w:val="32"/>
          <w:szCs w:val="32"/>
        </w:rPr>
        <w:t>位点招生资格认定。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第二十一条</w:t>
      </w:r>
      <w:r>
        <w:rPr>
          <w:rFonts w:hint="eastAsia" w:ascii="仿宋" w:hAnsi="仿宋" w:eastAsia="仿宋"/>
          <w:sz w:val="32"/>
          <w:szCs w:val="32"/>
        </w:rPr>
        <w:t xml:space="preserve"> 导</w:t>
      </w:r>
      <w:r>
        <w:rPr>
          <w:rFonts w:hint="eastAsia" w:ascii="仿宋" w:hAnsi="仿宋" w:eastAsia="仿宋"/>
          <w:spacing w:val="-6"/>
          <w:sz w:val="32"/>
          <w:szCs w:val="32"/>
        </w:rPr>
        <w:t>师招生资格实行学位点年审制度，当年具有招</w:t>
      </w:r>
      <w:r>
        <w:rPr>
          <w:rFonts w:hint="eastAsia" w:ascii="仿宋" w:hAnsi="仿宋" w:eastAsia="仿宋"/>
          <w:sz w:val="32"/>
          <w:szCs w:val="32"/>
        </w:rPr>
        <w:t>生资格的导师可在相应学位点招收硕士研究生。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第二十二条</w:t>
      </w:r>
      <w:r>
        <w:rPr>
          <w:rFonts w:hint="eastAsia" w:ascii="仿宋" w:hAnsi="仿宋" w:eastAsia="仿宋"/>
          <w:sz w:val="32"/>
          <w:szCs w:val="32"/>
        </w:rPr>
        <w:t xml:space="preserve"> 招生资格基本条件由学位点制定，且不低于本办法规定的导师任职资格基本条件。</w:t>
      </w: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第五章  资格认定程序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第二十三条 </w:t>
      </w:r>
      <w:r>
        <w:rPr>
          <w:rFonts w:hint="eastAsia" w:ascii="仿宋" w:hAnsi="仿宋" w:eastAsia="仿宋"/>
          <w:sz w:val="32"/>
          <w:szCs w:val="32"/>
        </w:rPr>
        <w:t>具</w:t>
      </w:r>
      <w:r>
        <w:rPr>
          <w:rFonts w:hint="eastAsia" w:ascii="仿宋" w:hAnsi="仿宋" w:eastAsia="仿宋"/>
          <w:spacing w:val="-6"/>
          <w:sz w:val="32"/>
          <w:szCs w:val="32"/>
        </w:rPr>
        <w:t>有导师任职资格的教师任期三年内均可申</w:t>
      </w:r>
      <w:r>
        <w:rPr>
          <w:rFonts w:hint="eastAsia" w:ascii="仿宋" w:hAnsi="仿宋" w:eastAsia="仿宋"/>
          <w:sz w:val="32"/>
          <w:szCs w:val="32"/>
        </w:rPr>
        <w:t>请招生资格认定，任期满后需重新认定任职资格。</w:t>
      </w:r>
    </w:p>
    <w:p>
      <w:pPr>
        <w:spacing w:line="600" w:lineRule="exact"/>
        <w:ind w:firstLine="643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第二十四条</w:t>
      </w:r>
      <w:r>
        <w:rPr>
          <w:rFonts w:hint="eastAsia" w:ascii="仿宋" w:hAnsi="仿宋" w:eastAsia="仿宋"/>
          <w:sz w:val="32"/>
          <w:szCs w:val="32"/>
        </w:rPr>
        <w:t xml:space="preserve"> 任职资格认定工作每年开展一次。申请人填报《</w:t>
      </w:r>
      <w:r>
        <w:rPr>
          <w:rFonts w:hint="eastAsia" w:ascii="仿宋" w:hAnsi="仿宋" w:eastAsia="仿宋"/>
          <w:sz w:val="32"/>
          <w:szCs w:val="32"/>
          <w:lang w:eastAsia="zh-CN"/>
        </w:rPr>
        <w:t>福建理工大学</w:t>
      </w:r>
      <w:r>
        <w:rPr>
          <w:rFonts w:hint="eastAsia" w:ascii="仿宋" w:hAnsi="仿宋" w:eastAsia="仿宋"/>
          <w:spacing w:val="6"/>
          <w:sz w:val="32"/>
          <w:szCs w:val="32"/>
        </w:rPr>
        <w:t>硕士研究生导师任职资格申请表》，由学位点研</w:t>
      </w:r>
      <w:r>
        <w:rPr>
          <w:rFonts w:hint="eastAsia" w:ascii="仿宋" w:hAnsi="仿宋" w:eastAsia="仿宋"/>
          <w:spacing w:val="-6"/>
          <w:sz w:val="32"/>
          <w:szCs w:val="32"/>
        </w:rPr>
        <w:t>究生培养指导委员会审核通过，公示3个工作日无异议后提</w:t>
      </w:r>
      <w:r>
        <w:rPr>
          <w:rFonts w:hint="eastAsia" w:ascii="仿宋" w:hAnsi="仿宋" w:eastAsia="仿宋"/>
          <w:sz w:val="32"/>
          <w:szCs w:val="32"/>
        </w:rPr>
        <w:t>交研究生处复核。研究生处将拟认定的导师任职资格名单提交校学</w:t>
      </w:r>
      <w:r>
        <w:rPr>
          <w:rFonts w:hint="eastAsia" w:ascii="仿宋" w:hAnsi="仿宋" w:eastAsia="仿宋"/>
          <w:spacing w:val="-6"/>
          <w:sz w:val="32"/>
          <w:szCs w:val="32"/>
        </w:rPr>
        <w:t>位评定委员会审定，须有三分之二以上的委员出席，并有超</w:t>
      </w:r>
      <w:r>
        <w:rPr>
          <w:rFonts w:hint="eastAsia" w:ascii="仿宋" w:hAnsi="仿宋" w:eastAsia="仿宋"/>
          <w:sz w:val="32"/>
          <w:szCs w:val="32"/>
        </w:rPr>
        <w:t>过半数出席会议委员同意方为通过，通过名单公示3个工作日无异议后予以公布。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第二十五条 </w:t>
      </w:r>
      <w:r>
        <w:rPr>
          <w:rFonts w:hint="eastAsia" w:ascii="仿宋" w:hAnsi="仿宋" w:eastAsia="仿宋"/>
          <w:sz w:val="32"/>
          <w:szCs w:val="32"/>
        </w:rPr>
        <w:t>导师招生资格认定程序由各学位点每年组织实</w:t>
      </w:r>
      <w:r>
        <w:rPr>
          <w:rFonts w:hint="eastAsia" w:ascii="仿宋" w:hAnsi="仿宋" w:eastAsia="仿宋"/>
          <w:spacing w:val="6"/>
          <w:sz w:val="32"/>
          <w:szCs w:val="32"/>
        </w:rPr>
        <w:t>施，认定名单经学位点研究生培养指导委员会审核通过，公</w:t>
      </w:r>
      <w:r>
        <w:rPr>
          <w:rFonts w:hint="eastAsia" w:ascii="仿宋" w:hAnsi="仿宋" w:eastAsia="仿宋"/>
          <w:sz w:val="32"/>
          <w:szCs w:val="32"/>
        </w:rPr>
        <w:t>示3个工作日无异议后予以公布，并提交研究生处备案。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第二十六条 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pacing w:val="6"/>
          <w:sz w:val="32"/>
          <w:szCs w:val="32"/>
        </w:rPr>
        <w:t>于申请材料存在弄虚作假的申请人，一经查</w:t>
      </w:r>
      <w:r>
        <w:rPr>
          <w:rFonts w:hint="eastAsia" w:ascii="仿宋" w:hAnsi="仿宋" w:eastAsia="仿宋"/>
          <w:spacing w:val="-6"/>
          <w:sz w:val="32"/>
          <w:szCs w:val="32"/>
        </w:rPr>
        <w:t>实，将取消其任职/招生资格，3年内不接受申请。对违反学</w:t>
      </w:r>
      <w:r>
        <w:rPr>
          <w:rFonts w:hint="eastAsia" w:ascii="仿宋" w:hAnsi="仿宋" w:eastAsia="仿宋"/>
          <w:sz w:val="32"/>
          <w:szCs w:val="32"/>
        </w:rPr>
        <w:t>校有关规定，存在不实审核的研究生培养学院和学位点，学校将酌减学位点绩效。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第二十七条 </w:t>
      </w:r>
      <w:r>
        <w:rPr>
          <w:rFonts w:hint="eastAsia" w:ascii="仿宋" w:hAnsi="仿宋" w:eastAsia="仿宋"/>
          <w:sz w:val="32"/>
          <w:szCs w:val="32"/>
        </w:rPr>
        <w:t>在任职/招生资格认定工作中，有异议者可在公示期内向相关学位点提出申诉并提供相应证据；若对申诉的处理意见仍有异议可向研究生处提出复审。</w:t>
      </w: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第六章  任职与招生资格管理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第二十八条</w:t>
      </w:r>
      <w:r>
        <w:rPr>
          <w:rFonts w:hint="eastAsia" w:ascii="仿宋" w:hAnsi="仿宋" w:eastAsia="仿宋"/>
          <w:sz w:val="32"/>
          <w:szCs w:val="32"/>
        </w:rPr>
        <w:t xml:space="preserve"> 导师如出现以下情况，按照相应文件取消任职资格或暂停招生资格。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pacing w:val="6"/>
          <w:sz w:val="32"/>
          <w:szCs w:val="32"/>
        </w:rPr>
        <w:t>本人或所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指导的研究生</w:t>
      </w:r>
      <w:r>
        <w:rPr>
          <w:rFonts w:hint="eastAsia" w:ascii="仿宋" w:hAnsi="仿宋" w:eastAsia="仿宋"/>
          <w:color w:val="000000"/>
          <w:sz w:val="32"/>
          <w:szCs w:val="32"/>
        </w:rPr>
        <w:t>出现学术造假行为或学术不端行为的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，按照《</w:t>
      </w:r>
      <w:r>
        <w:rPr>
          <w:rFonts w:hint="eastAsia" w:ascii="仿宋" w:hAnsi="仿宋" w:eastAsia="仿宋"/>
          <w:color w:val="000000"/>
          <w:spacing w:val="6"/>
          <w:sz w:val="32"/>
          <w:szCs w:val="32"/>
          <w:lang w:eastAsia="zh-CN"/>
        </w:rPr>
        <w:t>福建理工大学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研究生培养与学位授予工作中学术规范实施办法》取消任职资格或暂停招生资格。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2.所</w:t>
      </w:r>
      <w:r>
        <w:rPr>
          <w:rFonts w:hint="eastAsia" w:ascii="仿宋" w:hAnsi="仿宋" w:eastAsia="仿宋"/>
          <w:color w:val="000000"/>
          <w:spacing w:val="-11"/>
          <w:sz w:val="32"/>
          <w:szCs w:val="32"/>
        </w:rPr>
        <w:t>指导的研究生学位论文出现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《</w:t>
      </w:r>
      <w:r>
        <w:rPr>
          <w:rFonts w:hint="eastAsia" w:ascii="仿宋" w:hAnsi="仿宋" w:eastAsia="仿宋"/>
          <w:color w:val="000000"/>
          <w:spacing w:val="6"/>
          <w:sz w:val="32"/>
          <w:szCs w:val="32"/>
          <w:lang w:eastAsia="zh-CN"/>
        </w:rPr>
        <w:t>福建理工大学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硕士研究生“存在问题学位论文”和“不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合格”学位论文处理办法》所列情况的，按文件要求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取消任职资格或暂停招生资格。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3.违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反师德师风有关规定的，按照《</w:t>
      </w:r>
      <w:r>
        <w:rPr>
          <w:rFonts w:hint="eastAsia" w:ascii="仿宋" w:hAnsi="仿宋" w:eastAsia="仿宋"/>
          <w:color w:val="000000"/>
          <w:spacing w:val="6"/>
          <w:sz w:val="32"/>
          <w:szCs w:val="32"/>
          <w:lang w:eastAsia="zh-CN"/>
        </w:rPr>
        <w:t>福建理工大学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关于落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实研究生导师立德树人职责的实施细则》取消任职资格或暂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停招生资格。</w:t>
      </w:r>
    </w:p>
    <w:p>
      <w:pPr>
        <w:snapToGrid w:val="0"/>
        <w:spacing w:line="600" w:lineRule="exact"/>
        <w:ind w:firstLine="664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4.如出现其他未能履行导师岗位职责情况的，经学位点研</w:t>
      </w:r>
      <w:r>
        <w:rPr>
          <w:rFonts w:hint="eastAsia" w:ascii="仿宋" w:hAnsi="仿宋" w:eastAsia="仿宋"/>
          <w:color w:val="000000"/>
          <w:sz w:val="32"/>
          <w:szCs w:val="32"/>
        </w:rPr>
        <w:t>究</w:t>
      </w:r>
      <w:r>
        <w:rPr>
          <w:rFonts w:hint="eastAsia" w:ascii="仿宋" w:hAnsi="仿宋" w:eastAsia="仿宋"/>
          <w:color w:val="000000"/>
          <w:spacing w:val="6"/>
          <w:sz w:val="32"/>
          <w:szCs w:val="32"/>
        </w:rPr>
        <w:t>生培养指</w:t>
      </w:r>
      <w:r>
        <w:rPr>
          <w:rFonts w:hint="eastAsia" w:ascii="仿宋" w:hAnsi="仿宋" w:eastAsia="仿宋"/>
          <w:color w:val="000000"/>
          <w:sz w:val="32"/>
          <w:szCs w:val="32"/>
        </w:rPr>
        <w:t>导委员会认定，暂停其招生资格，情节严重者经校学</w:t>
      </w:r>
      <w:r>
        <w:rPr>
          <w:rFonts w:hint="eastAsia" w:ascii="仿宋" w:hAnsi="仿宋" w:eastAsia="仿宋"/>
          <w:sz w:val="32"/>
          <w:szCs w:val="32"/>
        </w:rPr>
        <w:t>位评定委员会认定，取消其任职资格。</w:t>
      </w:r>
    </w:p>
    <w:p>
      <w:pPr>
        <w:spacing w:line="60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第七章 附 则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第二十九条 </w:t>
      </w:r>
      <w:r>
        <w:rPr>
          <w:rFonts w:hint="eastAsia" w:ascii="仿宋" w:hAnsi="仿宋" w:eastAsia="仿宋"/>
          <w:color w:val="auto"/>
          <w:sz w:val="32"/>
          <w:szCs w:val="32"/>
        </w:rPr>
        <w:t>本办法涉及的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科研项目、</w:t>
      </w:r>
      <w:r>
        <w:rPr>
          <w:rFonts w:hint="eastAsia" w:ascii="仿宋" w:hAnsi="仿宋" w:eastAsia="仿宋"/>
          <w:color w:val="auto"/>
          <w:sz w:val="32"/>
          <w:szCs w:val="32"/>
        </w:rPr>
        <w:t>学术论文应以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福建理工大学</w:t>
      </w:r>
      <w:r>
        <w:rPr>
          <w:rFonts w:hint="eastAsia" w:ascii="仿宋" w:hAnsi="仿宋" w:eastAsia="仿宋"/>
          <w:color w:val="auto"/>
          <w:sz w:val="32"/>
          <w:szCs w:val="32"/>
        </w:rPr>
        <w:t>或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福建理工大学</w:t>
      </w:r>
      <w:r>
        <w:rPr>
          <w:rFonts w:hint="eastAsia" w:ascii="仿宋" w:hAnsi="仿宋" w:eastAsia="仿宋"/>
          <w:color w:val="auto"/>
          <w:sz w:val="32"/>
          <w:szCs w:val="32"/>
        </w:rPr>
        <w:t>科研平台为第一单位</w:t>
      </w:r>
      <w:r>
        <w:rPr>
          <w:rFonts w:hint="eastAsia" w:ascii="仿宋" w:hAnsi="仿宋" w:eastAsia="仿宋"/>
          <w:sz w:val="32"/>
          <w:szCs w:val="32"/>
        </w:rPr>
        <w:t>（近3年引进/毕业的博士和外聘硕导除外）；申请人应为独立作者、第一作者或通讯作者，或所指导的研究生为第一作者，申请人为第二作者。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第三十条 </w:t>
      </w:r>
      <w:r>
        <w:rPr>
          <w:rFonts w:hint="eastAsia" w:ascii="仿宋" w:hAnsi="仿宋" w:eastAsia="仿宋"/>
          <w:sz w:val="32"/>
          <w:szCs w:val="32"/>
        </w:rPr>
        <w:t>本办法涉及的核心期刊指列入《北大核心期刊要目总览》的期刊。涉及的项目及学术成果应与所申请的学科/专业相关。</w:t>
      </w:r>
    </w:p>
    <w:p>
      <w:pPr>
        <w:spacing w:line="600" w:lineRule="exact"/>
        <w:ind w:firstLine="630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第三十一条 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pacing w:val="-6"/>
          <w:sz w:val="32"/>
          <w:szCs w:val="32"/>
        </w:rPr>
        <w:t>办法自公布之日起实施，由研究生处负责解</w:t>
      </w:r>
      <w:r>
        <w:rPr>
          <w:rFonts w:hint="eastAsia" w:ascii="仿宋" w:hAnsi="仿宋" w:eastAsia="仿宋"/>
          <w:sz w:val="32"/>
          <w:szCs w:val="32"/>
        </w:rPr>
        <w:t>释。原《福建工程学院硕士研究生导师资格认定办法》（闽工院研工</w:t>
      </w:r>
      <w:r>
        <w:rPr>
          <w:rFonts w:hint="eastAsia" w:ascii="仿宋" w:hAnsi="仿宋" w:eastAsia="仿宋"/>
          <w:color w:val="auto"/>
          <w:sz w:val="32"/>
          <w:szCs w:val="32"/>
        </w:rPr>
        <w:t>〔202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〕1</w:t>
      </w:r>
      <w:r>
        <w:rPr>
          <w:rFonts w:hint="eastAsia" w:ascii="仿宋" w:hAnsi="仿宋" w:eastAsia="仿宋"/>
          <w:sz w:val="32"/>
          <w:szCs w:val="32"/>
        </w:rPr>
        <w:t>号）同时废止。</w:t>
      </w:r>
    </w:p>
    <w:p>
      <w:pPr>
        <w:ind w:left="1281" w:hanging="840"/>
        <w:rPr>
          <w:rFonts w:hint="eastAsia"/>
        </w:rPr>
      </w:pPr>
      <w:r>
        <w:t xml:space="preserve"> </w:t>
      </w:r>
    </w:p>
    <w:p>
      <w:pPr>
        <w:spacing w:line="340" w:lineRule="exact"/>
        <w:ind w:left="1281" w:hanging="839"/>
      </w:pPr>
      <w:r>
        <w:t xml:space="preserve"> </w:t>
      </w:r>
    </w:p>
    <w:p>
      <w:pPr>
        <w:adjustRightInd w:val="0"/>
        <w:snapToGrid w:val="0"/>
        <w:spacing w:line="640" w:lineRule="atLeast"/>
        <w:jc w:val="center"/>
        <w:rPr>
          <w:rFonts w:ascii="仿宋_GB2312" w:hAnsi="仿宋_GB2312"/>
          <w:sz w:val="18"/>
          <w:szCs w:val="18"/>
        </w:rPr>
      </w:pPr>
      <w:r>
        <w:rPr>
          <w:rFonts w:ascii="仿宋_GB2312" w:hAnsi="仿宋_GB2312"/>
          <w:sz w:val="18"/>
          <w:szCs w:val="18"/>
        </w:rPr>
        <w:t xml:space="preserve"> </w:t>
      </w:r>
    </w:p>
    <w:p>
      <w:pPr>
        <w:spacing w:line="20" w:lineRule="exact"/>
      </w:pPr>
      <w:r>
        <w:t xml:space="preserve"> </w:t>
      </w:r>
    </w:p>
    <w:p>
      <w:pPr>
        <w:ind w:left="1281" w:hanging="840"/>
      </w:pPr>
      <w:r>
        <w:t xml:space="preserve"> </w:t>
      </w:r>
    </w:p>
    <w:p>
      <w:pPr>
        <w:ind w:left="1281" w:hanging="840"/>
      </w:pPr>
    </w:p>
    <w:p>
      <w:pPr>
        <w:adjustRightInd w:val="0"/>
        <w:snapToGrid w:val="0"/>
        <w:spacing w:line="640" w:lineRule="atLeast"/>
        <w:rPr>
          <w:rFonts w:hint="eastAsia" w:ascii="仿宋_GB2312" w:hAnsi="仿宋_GB2312" w:eastAsia="仿宋_GB2312"/>
          <w:sz w:val="30"/>
          <w:szCs w:val="30"/>
        </w:rPr>
      </w:pPr>
    </w:p>
    <w:p>
      <w:pPr>
        <w:adjustRightInd w:val="0"/>
        <w:snapToGrid w:val="0"/>
        <w:spacing w:line="640" w:lineRule="atLeast"/>
        <w:rPr>
          <w:rFonts w:hint="eastAsia" w:ascii="仿宋_GB2312" w:hAnsi="仿宋_GB2312" w:eastAsia="仿宋_GB2312"/>
          <w:sz w:val="30"/>
          <w:szCs w:val="30"/>
        </w:rPr>
      </w:pPr>
    </w:p>
    <w:p>
      <w:pPr>
        <w:adjustRightInd w:val="0"/>
        <w:snapToGrid w:val="0"/>
        <w:spacing w:line="640" w:lineRule="atLeast"/>
        <w:rPr>
          <w:rFonts w:hint="eastAsia" w:ascii="仿宋_GB2312" w:hAnsi="仿宋_GB2312" w:eastAsia="仿宋_GB2312"/>
          <w:sz w:val="30"/>
          <w:szCs w:val="30"/>
        </w:rPr>
      </w:pPr>
    </w:p>
    <w:p>
      <w:pPr>
        <w:adjustRightInd w:val="0"/>
        <w:snapToGrid w:val="0"/>
        <w:spacing w:line="640" w:lineRule="atLeast"/>
        <w:rPr>
          <w:rFonts w:hint="eastAsia" w:ascii="仿宋_GB2312" w:hAnsi="仿宋_GB2312" w:eastAsia="仿宋_GB2312"/>
          <w:sz w:val="30"/>
          <w:szCs w:val="3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Q3OTJiMjkxNjBjZjZiNmNkZWI3MTgzMzE5NjMifQ=="/>
  </w:docVars>
  <w:rsids>
    <w:rsidRoot w:val="005707DF"/>
    <w:rsid w:val="00013809"/>
    <w:rsid w:val="00027B68"/>
    <w:rsid w:val="000468C2"/>
    <w:rsid w:val="000C54E2"/>
    <w:rsid w:val="0021344D"/>
    <w:rsid w:val="002B7D9A"/>
    <w:rsid w:val="003A610A"/>
    <w:rsid w:val="003C02D3"/>
    <w:rsid w:val="00446191"/>
    <w:rsid w:val="00454018"/>
    <w:rsid w:val="00527078"/>
    <w:rsid w:val="005707DF"/>
    <w:rsid w:val="00576288"/>
    <w:rsid w:val="00670BE7"/>
    <w:rsid w:val="006741BC"/>
    <w:rsid w:val="00674512"/>
    <w:rsid w:val="006832ED"/>
    <w:rsid w:val="00722ABC"/>
    <w:rsid w:val="007D1889"/>
    <w:rsid w:val="0082246C"/>
    <w:rsid w:val="008C56C1"/>
    <w:rsid w:val="008C7DDA"/>
    <w:rsid w:val="008E3ECF"/>
    <w:rsid w:val="00922CEF"/>
    <w:rsid w:val="0092338F"/>
    <w:rsid w:val="009567BB"/>
    <w:rsid w:val="009C654F"/>
    <w:rsid w:val="009C73EF"/>
    <w:rsid w:val="009D66E8"/>
    <w:rsid w:val="009D6D1D"/>
    <w:rsid w:val="009F3C15"/>
    <w:rsid w:val="00A21989"/>
    <w:rsid w:val="00A52975"/>
    <w:rsid w:val="00AE4797"/>
    <w:rsid w:val="00B41FFE"/>
    <w:rsid w:val="00B80496"/>
    <w:rsid w:val="00B97C30"/>
    <w:rsid w:val="00BA66B9"/>
    <w:rsid w:val="00BF6202"/>
    <w:rsid w:val="00C54EBD"/>
    <w:rsid w:val="00C62444"/>
    <w:rsid w:val="00C63294"/>
    <w:rsid w:val="00CF1B73"/>
    <w:rsid w:val="00CF322C"/>
    <w:rsid w:val="00D006E8"/>
    <w:rsid w:val="00D32E31"/>
    <w:rsid w:val="00D42F80"/>
    <w:rsid w:val="00D615A2"/>
    <w:rsid w:val="00DA0F1A"/>
    <w:rsid w:val="00DC3BD5"/>
    <w:rsid w:val="00DE1BB4"/>
    <w:rsid w:val="00DF3499"/>
    <w:rsid w:val="00E2152F"/>
    <w:rsid w:val="00ED05DC"/>
    <w:rsid w:val="00EE672D"/>
    <w:rsid w:val="00EF5680"/>
    <w:rsid w:val="00F237F7"/>
    <w:rsid w:val="00F67E6B"/>
    <w:rsid w:val="00F965B7"/>
    <w:rsid w:val="00FA7654"/>
    <w:rsid w:val="00FB194C"/>
    <w:rsid w:val="00FB195C"/>
    <w:rsid w:val="00FB283F"/>
    <w:rsid w:val="00FE24AF"/>
    <w:rsid w:val="02341C1F"/>
    <w:rsid w:val="05C43A86"/>
    <w:rsid w:val="4CC82987"/>
    <w:rsid w:val="527F5016"/>
    <w:rsid w:val="530E6501"/>
    <w:rsid w:val="55A734C3"/>
    <w:rsid w:val="583B7B92"/>
    <w:rsid w:val="62C34428"/>
    <w:rsid w:val="65FC0395"/>
    <w:rsid w:val="7018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  <w:style w:type="character" w:customStyle="1" w:styleId="7">
    <w:name w:val="页眉 Char"/>
    <w:link w:val="3"/>
    <w:qFormat/>
    <w:uiPriority w:val="0"/>
    <w:rPr>
      <w:rFonts w:ascii="Calibri" w:hAnsi="Calibri" w:eastAsia="宋体" w:cs="Times New Roman"/>
      <w:sz w:val="18"/>
    </w:rPr>
  </w:style>
  <w:style w:type="character" w:customStyle="1" w:styleId="8">
    <w:name w:val="页脚 Char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3614</Words>
  <Characters>3645</Characters>
  <Lines>0</Lines>
  <Paragraphs>0</Paragraphs>
  <TotalTime>1</TotalTime>
  <ScaleCrop>false</ScaleCrop>
  <LinksUpToDate>false</LinksUpToDate>
  <CharactersWithSpaces>3706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2023-06-25T00:47:00Z</dcterms:created>
  <dc:creator>fjuty</dc:creator>
  <cp:lastModifiedBy>fjuty</cp:lastModifiedBy>
  <dcterms:modified xsi:type="dcterms:W3CDTF">2023-09-12T04:01:11Z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9A5EF5E7BB85466B96A6614814A949C9_13</vt:lpwstr>
  </property>
</Properties>
</file>